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EDF49">
      <w:pPr>
        <w:pStyle w:val="5"/>
        <w:rPr>
          <w:rFonts w:ascii="Castellar" w:hAnsi="Castellar" w:eastAsia="新宋体-18030" w:cs="新宋体-18030"/>
          <w:sz w:val="84"/>
          <w:szCs w:val="84"/>
        </w:rPr>
      </w:pPr>
    </w:p>
    <w:p w14:paraId="5FDF5ACA">
      <w:pPr>
        <w:pStyle w:val="5"/>
        <w:rPr>
          <w:rFonts w:ascii="宋体" w:hAnsi="宋体" w:eastAsia="宋体"/>
          <w:sz w:val="52"/>
          <w:szCs w:val="52"/>
        </w:rPr>
      </w:pPr>
    </w:p>
    <w:p w14:paraId="34B05CBC">
      <w:pPr>
        <w:pStyle w:val="5"/>
        <w:jc w:val="center"/>
        <w:rPr>
          <w:rFonts w:hint="default" w:ascii="华文中宋" w:hAnsi="华文中宋" w:eastAsia="华文中宋" w:cs="Arial"/>
          <w:b/>
          <w:sz w:val="52"/>
          <w:szCs w:val="52"/>
          <w:lang w:val="en-US"/>
        </w:rPr>
      </w:pPr>
      <w:r>
        <w:rPr>
          <w:rFonts w:hint="eastAsia" w:ascii="华文中宋" w:hAnsi="华文中宋" w:eastAsia="华文中宋" w:cs="Arial"/>
          <w:b/>
          <w:sz w:val="52"/>
          <w:szCs w:val="52"/>
        </w:rPr>
        <w:t>计量技术规范</w:t>
      </w:r>
      <w:r>
        <w:rPr>
          <w:rFonts w:hint="eastAsia" w:ascii="华文中宋" w:hAnsi="华文中宋" w:eastAsia="华文中宋" w:cs="Arial"/>
          <w:b/>
          <w:sz w:val="52"/>
          <w:szCs w:val="52"/>
          <w:lang w:val="en-US" w:eastAsia="zh-CN"/>
        </w:rPr>
        <w:t>实验报告及不确定度</w:t>
      </w:r>
    </w:p>
    <w:p w14:paraId="683D635E"/>
    <w:p w14:paraId="16BAC41E"/>
    <w:p w14:paraId="0ECBA548">
      <w:r>
        <w:rPr>
          <w:rFonts w:hint="eastAsia"/>
        </w:rP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119380</wp:posOffset>
                </wp:positionV>
                <wp:extent cx="5351145" cy="13335"/>
                <wp:effectExtent l="0" t="6350" r="13335" b="1079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351145" cy="13335"/>
                        </a:xfrm>
                        <a:prstGeom prst="line">
                          <a:avLst/>
                        </a:prstGeom>
                        <a:noFill/>
                        <a:ln w="12700">
                          <a:solidFill>
                            <a:srgbClr val="000000"/>
                          </a:solidFill>
                          <a:round/>
                        </a:ln>
                      </wps:spPr>
                      <wps:bodyPr/>
                    </wps:wsp>
                  </a:graphicData>
                </a:graphic>
              </wp:anchor>
            </w:drawing>
          </mc:Choice>
          <mc:Fallback>
            <w:pict>
              <v:line id="_x0000_s1026" o:spid="_x0000_s1026" o:spt="20" style="position:absolute;left:0pt;margin-left:-0.7pt;margin-top:9.4pt;height:1.05pt;width:421.35pt;z-index:251659264;mso-width-relative:page;mso-height-relative:page;" filled="f" stroked="t" coordsize="21600,21600" o:gfxdata="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YI5zbY&#10;AAAACAEAAA8AAAAAAAAAAQAgAAAAIgAAAGRycy9kb3ducmV2LnhtbFBLAQIUABQAAAAIAIdO4kBy&#10;GhaD5wEAAK8DAAAOAAAAAAAAAAEAIAAAACcBAABkcnMvZTJvRG9jLnhtbFBLBQYAAAAABgAGAFkB&#10;AACABQAAAAA=&#10;">
                <v:fill on="f" focussize="0,0"/>
                <v:stroke weight="1pt" color="#000000" joinstyle="round"/>
                <v:imagedata o:title=""/>
                <o:lock v:ext="edit" aspectratio="f"/>
              </v:line>
            </w:pict>
          </mc:Fallback>
        </mc:AlternateContent>
      </w:r>
    </w:p>
    <w:p w14:paraId="7E6B79CD"/>
    <w:p w14:paraId="10F8AEB7"/>
    <w:p w14:paraId="503C430D"/>
    <w:p w14:paraId="6B4D76CB"/>
    <w:p w14:paraId="32ACD334"/>
    <w:p w14:paraId="5D9C22E6"/>
    <w:p w14:paraId="06100B46"/>
    <w:p w14:paraId="2A5FB108"/>
    <w:p w14:paraId="47AF9452"/>
    <w:p w14:paraId="0EE61224"/>
    <w:p w14:paraId="66D6D98E">
      <w:pPr>
        <w:jc w:val="center"/>
        <w:rPr>
          <w:rFonts w:hint="default" w:ascii="黑体" w:eastAsia="黑体"/>
          <w:sz w:val="52"/>
          <w:szCs w:val="52"/>
          <w:lang w:val="en-US"/>
        </w:rPr>
      </w:pPr>
      <w:r>
        <w:rPr>
          <w:rFonts w:hint="default" w:ascii="黑体" w:eastAsia="黑体"/>
          <w:sz w:val="52"/>
          <w:szCs w:val="52"/>
          <w:lang w:val="en-US"/>
        </w:rPr>
        <w:t>2π光通量计校准规范</w:t>
      </w:r>
    </w:p>
    <w:p w14:paraId="181E9761"/>
    <w:p w14:paraId="601525D1">
      <w:pPr>
        <w:pStyle w:val="6"/>
        <w:ind w:firstLine="0" w:firstLineChars="0"/>
        <w:jc w:val="center"/>
        <w:rPr>
          <w:rFonts w:hint="eastAsia"/>
          <w:b/>
          <w:sz w:val="44"/>
          <w:szCs w:val="36"/>
        </w:rPr>
      </w:pPr>
      <w:r>
        <w:rPr>
          <w:rFonts w:hint="eastAsia"/>
          <w:b/>
          <w:sz w:val="44"/>
          <w:szCs w:val="36"/>
        </w:rPr>
        <w:t>实验报告</w:t>
      </w:r>
    </w:p>
    <w:p w14:paraId="6E850261">
      <w:pPr>
        <w:rPr>
          <w:rFonts w:hint="default"/>
          <w:b/>
          <w:sz w:val="44"/>
          <w:szCs w:val="36"/>
          <w:lang w:val="en-US" w:eastAsia="zh-CN"/>
        </w:rPr>
      </w:pPr>
    </w:p>
    <w:p w14:paraId="36BA63B2">
      <w:pPr>
        <w:jc w:val="center"/>
        <w:rPr>
          <w:sz w:val="24"/>
          <w:szCs w:val="32"/>
        </w:rPr>
      </w:pPr>
      <w:r>
        <w:rPr>
          <w:rFonts w:hint="eastAsia"/>
          <w:sz w:val="24"/>
          <w:szCs w:val="32"/>
        </w:rPr>
        <w:t>（20</w:t>
      </w:r>
      <w:r>
        <w:rPr>
          <w:rFonts w:hint="eastAsia"/>
          <w:sz w:val="24"/>
          <w:szCs w:val="32"/>
          <w:lang w:val="en-US" w:eastAsia="zh-CN"/>
        </w:rPr>
        <w:t>25</w:t>
      </w:r>
      <w:r>
        <w:rPr>
          <w:rFonts w:hint="eastAsia"/>
          <w:sz w:val="24"/>
          <w:szCs w:val="32"/>
        </w:rPr>
        <w:t>.</w:t>
      </w:r>
      <w:r>
        <w:rPr>
          <w:rFonts w:hint="eastAsia"/>
          <w:sz w:val="24"/>
          <w:szCs w:val="32"/>
          <w:lang w:val="en-US" w:eastAsia="zh-CN"/>
        </w:rPr>
        <w:t>06</w:t>
      </w:r>
      <w:r>
        <w:rPr>
          <w:rFonts w:hint="eastAsia"/>
          <w:sz w:val="24"/>
          <w:szCs w:val="32"/>
        </w:rPr>
        <w:t>.</w:t>
      </w:r>
      <w:r>
        <w:rPr>
          <w:rFonts w:hint="eastAsia"/>
          <w:sz w:val="24"/>
          <w:szCs w:val="32"/>
          <w:lang w:val="en-US" w:eastAsia="zh-CN"/>
        </w:rPr>
        <w:t>30</w:t>
      </w:r>
      <w:r>
        <w:rPr>
          <w:rFonts w:hint="eastAsia"/>
          <w:sz w:val="24"/>
          <w:szCs w:val="32"/>
        </w:rPr>
        <w:t>）</w:t>
      </w:r>
    </w:p>
    <w:p w14:paraId="0359C155"/>
    <w:p w14:paraId="15EBE552">
      <w:pPr>
        <w:pStyle w:val="6"/>
        <w:ind w:firstLine="0" w:firstLineChars="0"/>
      </w:pPr>
    </w:p>
    <w:p w14:paraId="6726C92D">
      <w:pPr>
        <w:widowControl/>
        <w:jc w:val="left"/>
      </w:pPr>
      <w:r>
        <w:br w:type="page"/>
      </w:r>
    </w:p>
    <w:p w14:paraId="688D9838">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实验目的</w:t>
      </w:r>
    </w:p>
    <w:p w14:paraId="4D16A5BC">
      <w:pPr>
        <w:ind w:firstLine="420" w:firstLineChars="0"/>
        <w:rPr>
          <w:rFonts w:hint="eastAsia"/>
          <w:sz w:val="24"/>
          <w:szCs w:val="24"/>
          <w:lang w:val="en-US" w:eastAsia="zh-CN"/>
        </w:rPr>
      </w:pPr>
      <w:r>
        <w:rPr>
          <w:rFonts w:hint="eastAsia"/>
          <w:sz w:val="24"/>
          <w:szCs w:val="24"/>
          <w:lang w:val="en-US" w:eastAsia="zh-CN"/>
        </w:rPr>
        <w:t>使用发强度标准灯在一定距离产生均匀照度场的方法对被校准光通量计进行校准，对校准结果进行不确定度评估实例。</w:t>
      </w:r>
    </w:p>
    <w:p w14:paraId="50A60B13">
      <w:pPr>
        <w:ind w:firstLine="420" w:firstLineChars="0"/>
        <w:rPr>
          <w:rFonts w:hint="eastAsia"/>
          <w:sz w:val="24"/>
          <w:szCs w:val="24"/>
          <w:lang w:val="en-US" w:eastAsia="zh-CN"/>
        </w:rPr>
      </w:pPr>
    </w:p>
    <w:p w14:paraId="432B4FC5">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实验地点及时间</w:t>
      </w:r>
    </w:p>
    <w:p w14:paraId="21EF5FB9">
      <w:pPr>
        <w:ind w:firstLine="420" w:firstLineChars="0"/>
        <w:rPr>
          <w:rFonts w:hint="eastAsia"/>
          <w:sz w:val="24"/>
          <w:szCs w:val="32"/>
        </w:rPr>
      </w:pPr>
      <w:r>
        <w:rPr>
          <w:rFonts w:hint="eastAsia"/>
          <w:sz w:val="24"/>
          <w:szCs w:val="32"/>
        </w:rPr>
        <w:t>中国计量科学研究院</w:t>
      </w:r>
      <w:r>
        <w:rPr>
          <w:rFonts w:hint="eastAsia"/>
          <w:sz w:val="24"/>
          <w:szCs w:val="32"/>
          <w:lang w:val="en-US" w:eastAsia="zh-CN"/>
        </w:rPr>
        <w:t>和平里</w:t>
      </w:r>
      <w:r>
        <w:rPr>
          <w:rFonts w:hint="eastAsia"/>
          <w:sz w:val="24"/>
          <w:szCs w:val="32"/>
        </w:rPr>
        <w:t>园区1</w:t>
      </w:r>
      <w:r>
        <w:rPr>
          <w:rFonts w:hint="eastAsia"/>
          <w:sz w:val="24"/>
          <w:szCs w:val="32"/>
          <w:lang w:val="en-US" w:eastAsia="zh-CN"/>
        </w:rPr>
        <w:t>3</w:t>
      </w:r>
      <w:r>
        <w:rPr>
          <w:rFonts w:hint="eastAsia"/>
          <w:sz w:val="24"/>
          <w:szCs w:val="32"/>
        </w:rPr>
        <w:t>号楼</w:t>
      </w:r>
      <w:r>
        <w:rPr>
          <w:rFonts w:hint="eastAsia"/>
          <w:sz w:val="24"/>
          <w:szCs w:val="32"/>
          <w:lang w:val="en-US" w:eastAsia="zh-CN"/>
        </w:rPr>
        <w:t>214</w:t>
      </w:r>
      <w:r>
        <w:rPr>
          <w:rFonts w:hint="eastAsia"/>
          <w:sz w:val="24"/>
          <w:szCs w:val="32"/>
        </w:rPr>
        <w:t>室。</w:t>
      </w:r>
    </w:p>
    <w:p w14:paraId="6E4C52B2">
      <w:pPr>
        <w:ind w:firstLine="420" w:firstLineChars="0"/>
        <w:rPr>
          <w:sz w:val="24"/>
          <w:szCs w:val="32"/>
          <w:highlight w:val="none"/>
        </w:rPr>
      </w:pPr>
      <w:r>
        <w:rPr>
          <w:rFonts w:hint="eastAsia"/>
          <w:sz w:val="24"/>
          <w:szCs w:val="32"/>
          <w:highlight w:val="none"/>
        </w:rPr>
        <w:t>20</w:t>
      </w:r>
      <w:r>
        <w:rPr>
          <w:rFonts w:hint="eastAsia"/>
          <w:sz w:val="24"/>
          <w:szCs w:val="32"/>
          <w:highlight w:val="none"/>
          <w:lang w:val="en-US" w:eastAsia="zh-CN"/>
        </w:rPr>
        <w:t>25</w:t>
      </w:r>
      <w:r>
        <w:rPr>
          <w:rFonts w:hint="eastAsia"/>
          <w:sz w:val="24"/>
          <w:szCs w:val="32"/>
          <w:highlight w:val="none"/>
        </w:rPr>
        <w:t>年</w:t>
      </w:r>
      <w:r>
        <w:rPr>
          <w:rFonts w:hint="eastAsia"/>
          <w:sz w:val="24"/>
          <w:szCs w:val="32"/>
          <w:highlight w:val="none"/>
          <w:lang w:val="en-US" w:eastAsia="zh-CN"/>
        </w:rPr>
        <w:t>06</w:t>
      </w:r>
      <w:r>
        <w:rPr>
          <w:rFonts w:hint="eastAsia"/>
          <w:sz w:val="24"/>
          <w:szCs w:val="32"/>
          <w:highlight w:val="none"/>
        </w:rPr>
        <w:t>月</w:t>
      </w:r>
      <w:r>
        <w:rPr>
          <w:rFonts w:hint="eastAsia"/>
          <w:sz w:val="24"/>
          <w:szCs w:val="32"/>
          <w:highlight w:val="none"/>
          <w:lang w:val="en-US" w:eastAsia="zh-CN"/>
        </w:rPr>
        <w:t>30</w:t>
      </w:r>
      <w:r>
        <w:rPr>
          <w:rFonts w:hint="eastAsia"/>
          <w:sz w:val="24"/>
          <w:szCs w:val="32"/>
          <w:highlight w:val="none"/>
        </w:rPr>
        <w:t>日</w:t>
      </w:r>
    </w:p>
    <w:p w14:paraId="0CAC5A14">
      <w:pPr>
        <w:rPr>
          <w:highlight w:val="none"/>
        </w:rPr>
      </w:pPr>
    </w:p>
    <w:p w14:paraId="496CD059">
      <w:pPr>
        <w:numPr>
          <w:ilvl w:val="0"/>
          <w:numId w:val="1"/>
        </w:numPr>
        <w:autoSpaceDE w:val="0"/>
        <w:autoSpaceDN w:val="0"/>
        <w:adjustRightInd w:val="0"/>
        <w:jc w:val="left"/>
        <w:textAlignment w:val="baseline"/>
        <w:rPr>
          <w:rFonts w:eastAsia="华文楷体"/>
          <w:sz w:val="28"/>
          <w:szCs w:val="28"/>
          <w:highlight w:val="none"/>
        </w:rPr>
      </w:pPr>
      <w:r>
        <w:rPr>
          <w:rFonts w:hint="eastAsia" w:eastAsia="华文楷体"/>
          <w:sz w:val="28"/>
          <w:szCs w:val="28"/>
          <w:highlight w:val="none"/>
        </w:rPr>
        <w:t>环境条件</w:t>
      </w:r>
    </w:p>
    <w:p w14:paraId="5A03209C">
      <w:pPr>
        <w:ind w:firstLine="420" w:firstLineChars="0"/>
        <w:rPr>
          <w:rFonts w:ascii="宋体" w:hAnsi="宋体"/>
          <w:sz w:val="24"/>
          <w:szCs w:val="24"/>
          <w:highlight w:val="none"/>
        </w:rPr>
      </w:pPr>
      <w:r>
        <w:rPr>
          <w:rFonts w:hint="eastAsia" w:ascii="宋体" w:hAnsi="宋体"/>
          <w:sz w:val="24"/>
          <w:szCs w:val="24"/>
          <w:highlight w:val="none"/>
        </w:rPr>
        <w:t>温度2</w:t>
      </w:r>
      <w:r>
        <w:rPr>
          <w:rFonts w:hint="eastAsia" w:ascii="宋体" w:hAnsi="宋体"/>
          <w:sz w:val="24"/>
          <w:szCs w:val="24"/>
          <w:highlight w:val="none"/>
          <w:lang w:val="en-US" w:eastAsia="zh-CN"/>
        </w:rPr>
        <w:t>5</w:t>
      </w:r>
      <w:r>
        <w:rPr>
          <w:rFonts w:hint="eastAsia" w:ascii="宋体" w:hAnsi="宋体"/>
          <w:sz w:val="24"/>
          <w:szCs w:val="24"/>
          <w:highlight w:val="none"/>
        </w:rPr>
        <w:t>℃，湿度</w:t>
      </w:r>
      <w:r>
        <w:rPr>
          <w:rFonts w:hint="eastAsia" w:ascii="宋体" w:hAnsi="宋体"/>
          <w:sz w:val="24"/>
          <w:szCs w:val="24"/>
          <w:highlight w:val="none"/>
          <w:lang w:val="en-US" w:eastAsia="zh-CN"/>
        </w:rPr>
        <w:t>40</w:t>
      </w:r>
      <w:r>
        <w:rPr>
          <w:rFonts w:hint="eastAsia" w:ascii="宋体" w:hAnsi="宋体"/>
          <w:sz w:val="24"/>
          <w:szCs w:val="24"/>
          <w:highlight w:val="none"/>
        </w:rPr>
        <w:t>%</w:t>
      </w:r>
    </w:p>
    <w:p w14:paraId="3071716E">
      <w:pPr>
        <w:ind w:left="360"/>
        <w:rPr>
          <w:rFonts w:ascii="宋体" w:hAnsi="宋体"/>
          <w:szCs w:val="21"/>
        </w:rPr>
      </w:pPr>
    </w:p>
    <w:p w14:paraId="04BD722D">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检定</w:t>
      </w:r>
      <w:r>
        <w:rPr>
          <w:rFonts w:hint="eastAsia" w:ascii="华文楷体" w:hAnsi="华文楷体" w:eastAsia="华文楷体"/>
          <w:sz w:val="28"/>
          <w:szCs w:val="28"/>
        </w:rPr>
        <w:t>/校准</w:t>
      </w:r>
      <w:r>
        <w:rPr>
          <w:rFonts w:hint="eastAsia" w:eastAsia="华文楷体"/>
          <w:sz w:val="28"/>
          <w:szCs w:val="28"/>
        </w:rPr>
        <w:t>设备</w:t>
      </w:r>
    </w:p>
    <w:p w14:paraId="018CDD42">
      <w:pPr>
        <w:ind w:left="360"/>
        <w:rPr>
          <w:rFonts w:hint="eastAsia"/>
          <w:sz w:val="24"/>
          <w:szCs w:val="32"/>
          <w:lang w:val="en-US" w:eastAsia="zh-CN"/>
        </w:rPr>
      </w:pPr>
      <w:r>
        <w:rPr>
          <w:rFonts w:hint="eastAsia"/>
          <w:sz w:val="24"/>
          <w:szCs w:val="32"/>
          <w:lang w:val="en-US" w:eastAsia="zh-CN"/>
        </w:rPr>
        <w:t>检定装置由设备组成：</w:t>
      </w:r>
    </w:p>
    <w:p w14:paraId="69B675E5">
      <w:pPr>
        <w:numPr>
          <w:ilvl w:val="0"/>
          <w:numId w:val="2"/>
        </w:numPr>
        <w:ind w:left="425" w:leftChars="0" w:hanging="425" w:firstLineChars="0"/>
        <w:rPr>
          <w:rFonts w:hint="eastAsia"/>
          <w:sz w:val="24"/>
          <w:szCs w:val="32"/>
          <w:lang w:val="en-US" w:eastAsia="zh-CN"/>
        </w:rPr>
      </w:pPr>
      <w:r>
        <w:rPr>
          <w:rFonts w:hint="eastAsia"/>
          <w:sz w:val="24"/>
          <w:szCs w:val="24"/>
          <w:lang w:val="en-US" w:eastAsia="zh-CN"/>
        </w:rPr>
        <w:t>发强度标准灯，WI41-1047，电流5.9098A，290.7 cd</w:t>
      </w:r>
    </w:p>
    <w:p w14:paraId="1A917704">
      <w:pPr>
        <w:numPr>
          <w:ilvl w:val="0"/>
          <w:numId w:val="2"/>
        </w:numPr>
        <w:ind w:left="425" w:leftChars="0" w:hanging="425" w:firstLineChars="0"/>
        <w:rPr>
          <w:rFonts w:hint="eastAsia"/>
          <w:sz w:val="24"/>
          <w:szCs w:val="32"/>
          <w:lang w:val="en-US" w:eastAsia="zh-CN"/>
        </w:rPr>
      </w:pPr>
      <w:r>
        <w:rPr>
          <w:rFonts w:hint="eastAsia" w:eastAsia="宋体" w:cs="Times New Roman"/>
          <w:sz w:val="24"/>
          <w:szCs w:val="32"/>
          <w:lang w:val="en-US" w:eastAsia="zh-CN"/>
        </w:rPr>
        <w:t>光度测量装置</w:t>
      </w:r>
      <w:r>
        <w:rPr>
          <w:rFonts w:hint="eastAsia" w:cs="Times New Roman"/>
          <w:sz w:val="24"/>
          <w:szCs w:val="32"/>
          <w:lang w:val="en-US" w:eastAsia="zh-CN"/>
        </w:rPr>
        <w:t>：</w:t>
      </w:r>
      <w:r>
        <w:rPr>
          <w:rFonts w:hint="eastAsia" w:eastAsia="宋体" w:cs="Times New Roman"/>
          <w:sz w:val="24"/>
          <w:szCs w:val="32"/>
          <w:lang w:val="en-US" w:eastAsia="zh-CN"/>
        </w:rPr>
        <w:t>由光学导轨、可调接收器夹具、滑车、可调灯架、光阑等组成</w:t>
      </w:r>
      <w:r>
        <w:rPr>
          <w:rFonts w:hint="eastAsia" w:cs="Times New Roman"/>
          <w:sz w:val="24"/>
          <w:szCs w:val="32"/>
          <w:lang w:val="en-US" w:eastAsia="zh-CN"/>
        </w:rPr>
        <w:t>。</w:t>
      </w:r>
    </w:p>
    <w:p w14:paraId="33C374A4">
      <w:pPr>
        <w:numPr>
          <w:ilvl w:val="0"/>
          <w:numId w:val="0"/>
        </w:numPr>
        <w:ind w:leftChars="0"/>
        <w:rPr>
          <w:rFonts w:hint="eastAsia"/>
          <w:lang w:val="en-US" w:eastAsia="zh-CN"/>
        </w:rPr>
      </w:pPr>
    </w:p>
    <w:p w14:paraId="5755CCF6">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检定</w:t>
      </w:r>
      <w:r>
        <w:rPr>
          <w:rFonts w:hint="eastAsia" w:ascii="华文楷体" w:hAnsi="华文楷体" w:eastAsia="华文楷体"/>
          <w:sz w:val="28"/>
          <w:szCs w:val="28"/>
        </w:rPr>
        <w:t>/校准</w:t>
      </w:r>
      <w:r>
        <w:rPr>
          <w:rFonts w:hint="eastAsia" w:eastAsia="华文楷体"/>
          <w:sz w:val="28"/>
          <w:szCs w:val="28"/>
        </w:rPr>
        <w:t xml:space="preserve">人： </w:t>
      </w:r>
    </w:p>
    <w:p w14:paraId="13F0F2BD">
      <w:pPr>
        <w:ind w:left="360"/>
        <w:rPr>
          <w:rFonts w:hint="eastAsia" w:ascii="宋体" w:hAnsi="宋体"/>
          <w:sz w:val="24"/>
          <w:szCs w:val="36"/>
        </w:rPr>
      </w:pPr>
      <w:r>
        <w:rPr>
          <w:rFonts w:hint="eastAsia" w:ascii="宋体" w:hAnsi="宋体"/>
          <w:sz w:val="24"/>
          <w:szCs w:val="36"/>
        </w:rPr>
        <w:tab/>
      </w:r>
      <w:r>
        <w:rPr>
          <w:rFonts w:hint="eastAsia" w:ascii="宋体" w:hAnsi="宋体"/>
          <w:sz w:val="24"/>
          <w:szCs w:val="36"/>
        </w:rPr>
        <w:t>校准人：赵伟强 刘慧</w:t>
      </w:r>
    </w:p>
    <w:p w14:paraId="7659F90A">
      <w:pPr>
        <w:rPr>
          <w:rFonts w:hint="eastAsia" w:ascii="宋体" w:hAnsi="宋体"/>
          <w:szCs w:val="28"/>
        </w:rPr>
      </w:pPr>
    </w:p>
    <w:p w14:paraId="47DAE4DF">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被检</w:t>
      </w:r>
      <w:r>
        <w:rPr>
          <w:rFonts w:hint="eastAsia" w:ascii="华文楷体" w:hAnsi="华文楷体" w:eastAsia="华文楷体"/>
          <w:sz w:val="28"/>
          <w:szCs w:val="28"/>
        </w:rPr>
        <w:t>/校</w:t>
      </w:r>
      <w:r>
        <w:rPr>
          <w:rFonts w:hint="eastAsia" w:eastAsia="华文楷体"/>
          <w:sz w:val="28"/>
          <w:szCs w:val="28"/>
        </w:rPr>
        <w:t>样品信息：</w:t>
      </w:r>
    </w:p>
    <w:p w14:paraId="570CEDF6">
      <w:pPr>
        <w:ind w:left="360"/>
        <w:rPr>
          <w:rFonts w:hint="eastAsia"/>
          <w:sz w:val="24"/>
          <w:szCs w:val="32"/>
          <w:highlight w:val="none"/>
          <w:lang w:val="en-US" w:eastAsia="zh-CN"/>
        </w:rPr>
      </w:pPr>
      <w:r>
        <w:rPr>
          <w:rFonts w:hint="eastAsia"/>
          <w:sz w:val="24"/>
          <w:szCs w:val="32"/>
          <w:highlight w:val="none"/>
          <w:lang w:val="en-US" w:eastAsia="zh-CN"/>
        </w:rPr>
        <w:t>被校设备是2π光通量计，序列号：230110。</w:t>
      </w:r>
    </w:p>
    <w:p w14:paraId="3E3BE8AD">
      <w:pPr>
        <w:ind w:left="360"/>
        <w:rPr>
          <w:rFonts w:hint="default"/>
          <w:sz w:val="24"/>
          <w:szCs w:val="32"/>
          <w:lang w:val="en-US" w:eastAsia="zh-CN"/>
        </w:rPr>
      </w:pPr>
    </w:p>
    <w:p w14:paraId="07A62C58">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检定</w:t>
      </w:r>
      <w:r>
        <w:rPr>
          <w:rFonts w:hint="eastAsia" w:ascii="华文楷体" w:hAnsi="华文楷体" w:eastAsia="华文楷体"/>
          <w:sz w:val="28"/>
          <w:szCs w:val="28"/>
        </w:rPr>
        <w:t>/校准</w:t>
      </w:r>
      <w:r>
        <w:rPr>
          <w:rFonts w:hint="eastAsia" w:eastAsia="华文楷体"/>
          <w:sz w:val="28"/>
          <w:szCs w:val="28"/>
        </w:rPr>
        <w:t>方法及结果：</w:t>
      </w:r>
    </w:p>
    <w:p w14:paraId="714958CD"/>
    <w:p w14:paraId="1C5ADE9A">
      <w:pPr>
        <w:ind w:firstLine="480" w:firstLineChars="200"/>
        <w:rPr>
          <w:rFonts w:hint="eastAsia"/>
          <w:sz w:val="24"/>
          <w:szCs w:val="24"/>
          <w:highlight w:val="yellow"/>
          <w:lang w:val="en-US" w:eastAsia="zh-CN"/>
        </w:rPr>
      </w:pPr>
      <w:r>
        <w:rPr>
          <w:rFonts w:hint="eastAsia"/>
          <w:sz w:val="24"/>
          <w:szCs w:val="24"/>
          <w:lang w:val="en-US" w:eastAsia="zh-CN"/>
        </w:rPr>
        <w:t>校准方法</w:t>
      </w:r>
      <w:r>
        <w:rPr>
          <w:rFonts w:hint="eastAsia"/>
          <w:sz w:val="24"/>
          <w:szCs w:val="24"/>
          <w:highlight w:val="none"/>
          <w:lang w:val="en-US" w:eastAsia="zh-CN"/>
        </w:rPr>
        <w:t>见《</w:t>
      </w:r>
      <w:r>
        <w:rPr>
          <w:rFonts w:hint="eastAsia"/>
          <w:sz w:val="24"/>
          <w:szCs w:val="32"/>
          <w:highlight w:val="none"/>
          <w:lang w:val="en-US" w:eastAsia="zh-CN"/>
        </w:rPr>
        <w:t>2π光通量计校准规范</w:t>
      </w:r>
      <w:r>
        <w:rPr>
          <w:rFonts w:hint="eastAsia"/>
          <w:sz w:val="24"/>
          <w:szCs w:val="24"/>
          <w:highlight w:val="none"/>
          <w:lang w:val="en-US" w:eastAsia="zh-CN"/>
        </w:rPr>
        <w:t>》</w:t>
      </w:r>
      <w:r>
        <w:rPr>
          <w:rFonts w:hint="eastAsia"/>
          <w:sz w:val="24"/>
          <w:szCs w:val="24"/>
          <w:lang w:val="en-US" w:eastAsia="zh-CN"/>
        </w:rPr>
        <w:t>。使用发强度标准灯在一定距离产生均匀照度场的方法对被校准光通量计进行校准。</w:t>
      </w:r>
    </w:p>
    <w:p w14:paraId="45B83E49">
      <w:pPr>
        <w:numPr>
          <w:ilvl w:val="0"/>
          <w:numId w:val="3"/>
        </w:numPr>
        <w:adjustRightInd w:val="0"/>
        <w:snapToGrid w:val="0"/>
        <w:ind w:firstLine="42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校准</w:t>
      </w:r>
      <w:r>
        <w:rPr>
          <w:rFonts w:hint="default" w:ascii="Times New Roman" w:hAnsi="Times New Roman" w:eastAsia="宋体" w:cs="Times New Roman"/>
          <w:sz w:val="24"/>
          <w:szCs w:val="24"/>
        </w:rPr>
        <w:t>装置的调整和预热</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在光学导轨上，安装</w:t>
      </w:r>
      <w:r>
        <w:rPr>
          <w:rFonts w:hint="default" w:ascii="Times New Roman" w:hAnsi="Times New Roman" w:eastAsia="宋体" w:cs="Times New Roman"/>
          <w:sz w:val="24"/>
          <w:szCs w:val="24"/>
          <w:lang w:val="en-US" w:eastAsia="zh-CN"/>
        </w:rPr>
        <w:t>开口积分球</w:t>
      </w:r>
      <w:r>
        <w:rPr>
          <w:rFonts w:hint="default" w:ascii="Times New Roman" w:hAnsi="Times New Roman" w:eastAsia="宋体" w:cs="Times New Roman"/>
          <w:sz w:val="24"/>
          <w:szCs w:val="24"/>
        </w:rPr>
        <w:t>在可调</w:t>
      </w:r>
      <w:r>
        <w:rPr>
          <w:rFonts w:hint="default" w:ascii="Times New Roman" w:hAnsi="Times New Roman" w:eastAsia="宋体" w:cs="Times New Roman"/>
          <w:sz w:val="24"/>
          <w:szCs w:val="24"/>
          <w:lang w:val="en-US" w:eastAsia="zh-CN"/>
        </w:rPr>
        <w:t>安装</w:t>
      </w:r>
      <w:r>
        <w:rPr>
          <w:rFonts w:hint="default" w:ascii="Times New Roman" w:hAnsi="Times New Roman" w:eastAsia="宋体" w:cs="Times New Roman"/>
          <w:sz w:val="24"/>
          <w:szCs w:val="24"/>
        </w:rPr>
        <w:t>架上，使</w:t>
      </w:r>
      <w:r>
        <w:rPr>
          <w:rFonts w:hint="default" w:ascii="Times New Roman" w:hAnsi="Times New Roman" w:eastAsia="宋体" w:cs="Times New Roman"/>
          <w:sz w:val="24"/>
          <w:szCs w:val="24"/>
          <w:lang w:val="en-US" w:eastAsia="zh-CN"/>
        </w:rPr>
        <w:t>积分球开口面</w:t>
      </w:r>
      <w:r>
        <w:rPr>
          <w:rFonts w:hint="default" w:ascii="Times New Roman" w:hAnsi="Times New Roman" w:eastAsia="宋体" w:cs="Times New Roman"/>
          <w:sz w:val="24"/>
          <w:szCs w:val="24"/>
        </w:rPr>
        <w:t>垂直于光轨的水平测量轴线</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中心位于该轴线上</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且开口朝向标准灯</w:t>
      </w:r>
      <w:r>
        <w:rPr>
          <w:rFonts w:hint="default" w:ascii="Times New Roman" w:hAnsi="Times New Roman" w:eastAsia="宋体" w:cs="Times New Roman"/>
          <w:sz w:val="24"/>
          <w:szCs w:val="24"/>
        </w:rPr>
        <w:t>。标准灯安装在可调灯架上，按照</w:t>
      </w:r>
      <w:r>
        <w:rPr>
          <w:rFonts w:hint="default" w:ascii="Times New Roman" w:hAnsi="Times New Roman" w:eastAsia="宋体" w:cs="Times New Roman"/>
          <w:sz w:val="24"/>
          <w:szCs w:val="24"/>
          <w:lang w:val="en-US" w:eastAsia="zh-CN"/>
        </w:rPr>
        <w:t>图1</w:t>
      </w:r>
      <w:r>
        <w:rPr>
          <w:rFonts w:hint="default" w:ascii="Times New Roman" w:hAnsi="Times New Roman" w:eastAsia="宋体" w:cs="Times New Roman"/>
          <w:sz w:val="24"/>
          <w:szCs w:val="24"/>
        </w:rPr>
        <w:t>规定的方式连接测量电路，灯丝平面垂直于光轨的水平测量轴线</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中心位于该轴线上</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且工作面朝向开口积分球</w:t>
      </w:r>
      <w:r>
        <w:rPr>
          <w:rFonts w:hint="default" w:ascii="Times New Roman" w:hAnsi="Times New Roman" w:eastAsia="宋体" w:cs="Times New Roman"/>
          <w:sz w:val="24"/>
          <w:szCs w:val="24"/>
        </w:rPr>
        <w:t>。在灯与</w:t>
      </w:r>
      <w:r>
        <w:rPr>
          <w:rFonts w:hint="default" w:ascii="Times New Roman" w:hAnsi="Times New Roman" w:eastAsia="宋体" w:cs="Times New Roman"/>
          <w:sz w:val="24"/>
          <w:szCs w:val="24"/>
          <w:lang w:val="en-US" w:eastAsia="zh-CN"/>
        </w:rPr>
        <w:t>积分球开口</w:t>
      </w:r>
      <w:r>
        <w:rPr>
          <w:rFonts w:hint="default" w:ascii="Times New Roman" w:hAnsi="Times New Roman" w:eastAsia="宋体" w:cs="Times New Roman"/>
          <w:sz w:val="24"/>
          <w:szCs w:val="24"/>
        </w:rPr>
        <w:t>之间适当位置放置</w:t>
      </w:r>
      <w:r>
        <w:rPr>
          <w:rFonts w:hint="default" w:ascii="Times New Roman" w:hAnsi="Times New Roman" w:eastAsia="宋体" w:cs="Times New Roman"/>
          <w:sz w:val="24"/>
          <w:szCs w:val="24"/>
          <w:lang w:val="en-US" w:eastAsia="zh-CN"/>
        </w:rPr>
        <w:t>光拦</w:t>
      </w:r>
      <w:r>
        <w:rPr>
          <w:rFonts w:hint="default" w:ascii="Times New Roman" w:hAnsi="Times New Roman" w:eastAsia="宋体" w:cs="Times New Roman"/>
          <w:sz w:val="24"/>
          <w:szCs w:val="24"/>
        </w:rPr>
        <w:t>，遮挡测量装置周围和内部反射的杂散光，使其不能射入到</w:t>
      </w:r>
      <w:r>
        <w:rPr>
          <w:rFonts w:hint="default" w:ascii="Times New Roman" w:hAnsi="Times New Roman" w:eastAsia="宋体" w:cs="Times New Roman"/>
          <w:sz w:val="24"/>
          <w:szCs w:val="24"/>
          <w:lang w:val="en-US" w:eastAsia="zh-CN"/>
        </w:rPr>
        <w:t>开口积分球</w:t>
      </w:r>
      <w:r>
        <w:rPr>
          <w:rFonts w:hint="default" w:ascii="Times New Roman" w:hAnsi="Times New Roman" w:eastAsia="宋体" w:cs="Times New Roman"/>
          <w:sz w:val="24"/>
          <w:szCs w:val="24"/>
        </w:rPr>
        <w:t>的探测面上。</w:t>
      </w:r>
      <w:r>
        <w:rPr>
          <w:rFonts w:hint="default" w:ascii="Times New Roman" w:hAnsi="Times New Roman" w:eastAsia="宋体" w:cs="Times New Roman"/>
          <w:sz w:val="24"/>
          <w:szCs w:val="24"/>
          <w:lang w:val="en-US" w:eastAsia="zh-CN"/>
        </w:rPr>
        <w:t>除限制光拦外，其余光拦</w:t>
      </w:r>
      <w:r>
        <w:rPr>
          <w:rFonts w:hint="default" w:ascii="Times New Roman" w:hAnsi="Times New Roman" w:eastAsia="宋体" w:cs="Times New Roman"/>
          <w:sz w:val="24"/>
          <w:szCs w:val="24"/>
        </w:rPr>
        <w:t>大小和位置设置应合理，不能遮挡灯发光面直射到探测面上的光线。</w:t>
      </w:r>
      <w:r>
        <w:rPr>
          <w:rFonts w:hint="default" w:ascii="Times New Roman" w:hAnsi="Times New Roman" w:eastAsia="宋体" w:cs="Times New Roman"/>
          <w:sz w:val="24"/>
          <w:szCs w:val="24"/>
          <w:lang w:val="en-US" w:eastAsia="zh-CN"/>
        </w:rPr>
        <w:t>积分球开口测量轴线位置前方放置面积已知的限制光拦，标准灯通过限制光拦后的所有光线应全部被积分球开口收集；如果限制光拦不适用，则需测量积分球开口面积，并认为该积分球开口等同于限制光拦。标准灯和开口积分球的安装示意图见图2。</w:t>
      </w:r>
      <w:r>
        <w:rPr>
          <w:rFonts w:hint="default" w:ascii="Times New Roman" w:hAnsi="Times New Roman" w:eastAsia="宋体" w:cs="Times New Roman"/>
          <w:sz w:val="24"/>
          <w:szCs w:val="24"/>
        </w:rPr>
        <w:t>电源、电测设备和</w:t>
      </w:r>
      <w:r>
        <w:rPr>
          <w:rFonts w:hint="default" w:ascii="Times New Roman" w:hAnsi="Times New Roman" w:eastAsia="宋体" w:cs="Times New Roman"/>
          <w:sz w:val="24"/>
          <w:szCs w:val="24"/>
          <w:lang w:val="en-US" w:eastAsia="zh-CN"/>
        </w:rPr>
        <w:t>待测光通量计</w:t>
      </w:r>
      <w:r>
        <w:rPr>
          <w:rFonts w:hint="default" w:ascii="Times New Roman" w:hAnsi="Times New Roman" w:eastAsia="宋体" w:cs="Times New Roman"/>
          <w:sz w:val="24"/>
          <w:szCs w:val="24"/>
        </w:rPr>
        <w:t>预热30 min以上。</w:t>
      </w:r>
    </w:p>
    <w:p w14:paraId="6738CBDF">
      <w:pPr>
        <w:numPr>
          <w:ilvl w:val="-1"/>
          <w:numId w:val="0"/>
        </w:numPr>
        <w:adjustRightInd w:val="0"/>
        <w:snapToGrid w:val="0"/>
        <w:ind w:firstLine="0"/>
        <w:jc w:val="center"/>
        <w:rPr>
          <w:rFonts w:hint="default" w:ascii="Times New Roman" w:hAnsi="Times New Roman" w:eastAsia="宋体" w:cs="Times New Roman"/>
          <w:position w:val="-20"/>
          <w:sz w:val="24"/>
          <w:szCs w:val="24"/>
        </w:rPr>
      </w:pPr>
      <w:r>
        <w:rPr>
          <w:rFonts w:hint="default" w:ascii="Times New Roman" w:hAnsi="Times New Roman" w:eastAsia="宋体" w:cs="Times New Roman"/>
          <w:position w:val="-20"/>
          <w:sz w:val="24"/>
          <w:szCs w:val="24"/>
        </w:rPr>
        <w:drawing>
          <wp:inline distT="0" distB="0" distL="114300" distR="114300">
            <wp:extent cx="2276475" cy="1358900"/>
            <wp:effectExtent l="0" t="0" r="9525" b="12700"/>
            <wp:docPr id="14" name="图片 14" descr="四线接线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四线接线图-1"/>
                    <pic:cNvPicPr>
                      <a:picLocks noChangeAspect="1"/>
                    </pic:cNvPicPr>
                  </pic:nvPicPr>
                  <pic:blipFill>
                    <a:blip r:embed="rId4"/>
                    <a:stretch>
                      <a:fillRect/>
                    </a:stretch>
                  </pic:blipFill>
                  <pic:spPr>
                    <a:xfrm>
                      <a:off x="0" y="0"/>
                      <a:ext cx="2276475" cy="1358900"/>
                    </a:xfrm>
                    <a:prstGeom prst="rect">
                      <a:avLst/>
                    </a:prstGeom>
                  </pic:spPr>
                </pic:pic>
              </a:graphicData>
            </a:graphic>
          </wp:inline>
        </w:drawing>
      </w:r>
    </w:p>
    <w:p w14:paraId="4C1597A2">
      <w:pPr>
        <w:numPr>
          <w:ilvl w:val="-1"/>
          <w:numId w:val="0"/>
        </w:numPr>
        <w:adjustRightInd w:val="0"/>
        <w:snapToGrid w:val="0"/>
        <w:ind w:firstLine="0"/>
        <w:jc w:val="center"/>
        <w:rPr>
          <w:rFonts w:hint="default" w:ascii="Times New Roman" w:hAnsi="Times New Roman" w:eastAsia="宋体" w:cs="Times New Roman"/>
          <w:position w:val="-20"/>
          <w:sz w:val="24"/>
          <w:szCs w:val="24"/>
        </w:rPr>
      </w:pPr>
    </w:p>
    <w:p w14:paraId="5635EEA7">
      <w:pPr>
        <w:numPr>
          <w:ilvl w:val="-1"/>
          <w:numId w:val="0"/>
        </w:numPr>
        <w:adjustRightInd w:val="0"/>
        <w:snapToGrid w:val="0"/>
        <w:ind w:firstLine="0"/>
        <w:jc w:val="center"/>
        <w:rPr>
          <w:rFonts w:hint="default" w:ascii="Times New Roman" w:hAnsi="Times New Roman" w:eastAsia="宋体" w:cs="Times New Roman"/>
          <w:position w:val="-20"/>
          <w:sz w:val="24"/>
          <w:szCs w:val="24"/>
        </w:rPr>
      </w:pPr>
      <w:r>
        <w:rPr>
          <w:rFonts w:hint="default" w:ascii="Times New Roman" w:hAnsi="Times New Roman" w:eastAsia="宋体" w:cs="Times New Roman"/>
          <w:sz w:val="24"/>
          <w:szCs w:val="24"/>
          <w:lang w:val="en-US" w:eastAsia="zh-CN"/>
        </w:rPr>
        <w:t xml:space="preserve">图1 </w:t>
      </w:r>
      <w:r>
        <w:rPr>
          <w:rFonts w:hint="default" w:ascii="Times New Roman" w:hAnsi="Times New Roman" w:eastAsia="宋体" w:cs="Times New Roman"/>
          <w:sz w:val="24"/>
          <w:szCs w:val="24"/>
        </w:rPr>
        <w:t>直流供电与电测电路图</w:t>
      </w:r>
    </w:p>
    <w:p w14:paraId="0ED31803">
      <w:pPr>
        <w:numPr>
          <w:ilvl w:val="-1"/>
          <w:numId w:val="0"/>
        </w:numPr>
        <w:adjustRightInd w:val="0"/>
        <w:snapToGrid w:val="0"/>
        <w:ind w:firstLine="0"/>
        <w:jc w:val="center"/>
        <w:rPr>
          <w:rFonts w:hint="default" w:ascii="Times New Roman" w:hAnsi="Times New Roman" w:eastAsia="宋体" w:cs="Times New Roman"/>
          <w:position w:val="-20"/>
          <w:sz w:val="24"/>
          <w:szCs w:val="24"/>
        </w:rPr>
      </w:pPr>
    </w:p>
    <w:p w14:paraId="4BB26E50">
      <w:pPr>
        <w:numPr>
          <w:ilvl w:val="-1"/>
          <w:numId w:val="0"/>
        </w:numPr>
        <w:adjustRightInd w:val="0"/>
        <w:snapToGrid w:val="0"/>
        <w:ind w:firstLine="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drawing>
          <wp:inline distT="0" distB="0" distL="114300" distR="114300">
            <wp:extent cx="4416425" cy="1213485"/>
            <wp:effectExtent l="0" t="0" r="3175" b="5715"/>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5"/>
                    <a:stretch>
                      <a:fillRect/>
                    </a:stretch>
                  </pic:blipFill>
                  <pic:spPr>
                    <a:xfrm>
                      <a:off x="0" y="0"/>
                      <a:ext cx="4416425" cy="1213485"/>
                    </a:xfrm>
                    <a:prstGeom prst="rect">
                      <a:avLst/>
                    </a:prstGeom>
                    <a:noFill/>
                    <a:ln>
                      <a:noFill/>
                    </a:ln>
                  </pic:spPr>
                </pic:pic>
              </a:graphicData>
            </a:graphic>
          </wp:inline>
        </w:drawing>
      </w:r>
    </w:p>
    <w:p w14:paraId="0AD3DA59">
      <w:pPr>
        <w:numPr>
          <w:ilvl w:val="-1"/>
          <w:numId w:val="0"/>
        </w:numPr>
        <w:adjustRightInd w:val="0"/>
        <w:snapToGrid w:val="0"/>
        <w:ind w:firstLine="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图2  标准灯和开口积分球的安装示意图</w:t>
      </w:r>
    </w:p>
    <w:p w14:paraId="4308FCD3">
      <w:pPr>
        <w:numPr>
          <w:ilvl w:val="-1"/>
          <w:numId w:val="0"/>
        </w:numPr>
        <w:adjustRightInd w:val="0"/>
        <w:snapToGrid w:val="0"/>
        <w:ind w:firstLine="0"/>
        <w:jc w:val="center"/>
        <w:rPr>
          <w:rFonts w:hint="default" w:ascii="Times New Roman" w:hAnsi="Times New Roman" w:eastAsia="宋体" w:cs="Times New Roman"/>
          <w:sz w:val="24"/>
          <w:szCs w:val="24"/>
          <w:lang w:val="en-US" w:eastAsia="zh-CN"/>
        </w:rPr>
      </w:pPr>
    </w:p>
    <w:p w14:paraId="020C0464">
      <w:pPr>
        <w:numPr>
          <w:ilvl w:val="0"/>
          <w:numId w:val="3"/>
        </w:numPr>
        <w:adjustRightInd w:val="0"/>
        <w:snapToGrid w:val="0"/>
        <w:ind w:firstLine="42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发光强度标准灯的点亮。标准灯在光学导轨上安装规范要求安装。标准灯按规定灯电流值点亮时，避免过流、过压及极性反接，待标准灯发光稳定后开始测量，稳定时间为3 min。</w:t>
      </w:r>
    </w:p>
    <w:p w14:paraId="0D4418B5">
      <w:pPr>
        <w:numPr>
          <w:ilvl w:val="0"/>
          <w:numId w:val="0"/>
        </w:numPr>
        <w:adjustRightInd w:val="0"/>
        <w:snapToGrid w:val="0"/>
        <w:jc w:val="left"/>
        <w:rPr>
          <w:rFonts w:hint="default" w:ascii="Times New Roman" w:hAnsi="Times New Roman" w:eastAsia="宋体" w:cs="Times New Roman"/>
          <w:sz w:val="24"/>
          <w:szCs w:val="24"/>
        </w:rPr>
      </w:pPr>
    </w:p>
    <w:p w14:paraId="07892C80">
      <w:pPr>
        <w:numPr>
          <w:ilvl w:val="0"/>
          <w:numId w:val="3"/>
        </w:numPr>
        <w:adjustRightInd w:val="0"/>
        <w:snapToGrid w:val="0"/>
        <w:ind w:firstLine="42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数据记录。记录当前第</w:t>
      </w:r>
      <m:oMath>
        <m:r>
          <m:rPr>
            <m:nor/>
          </m:rPr>
          <w:rPr>
            <w:rFonts w:hint="default" w:ascii="Times New Roman" w:hAnsi="Times New Roman" w:eastAsia="宋体" w:cs="Times New Roman"/>
            <w:i/>
            <w:kern w:val="2"/>
            <w:sz w:val="24"/>
            <w:szCs w:val="24"/>
            <w:lang w:val="en-US" w:eastAsia="zh-CN" w:bidi="ar-SA"/>
          </w:rPr>
          <m:t>i</m:t>
        </m:r>
      </m:oMath>
      <w:r>
        <w:rPr>
          <w:rFonts w:hint="default" w:ascii="Times New Roman" w:hAnsi="Times New Roman" w:eastAsia="宋体" w:cs="Times New Roman"/>
          <w:sz w:val="24"/>
          <w:szCs w:val="24"/>
          <w:lang w:val="en-US" w:eastAsia="zh-CN"/>
        </w:rPr>
        <w:t>次发光强度标准灯到积分球开口的距离</w:t>
      </w:r>
      <m:oMath>
        <m:sSub>
          <m:sSubPr>
            <m:ctrlPr>
              <w:rPr>
                <w:rFonts w:hint="default" w:ascii="Cambria Math" w:hAnsi="Cambria Math" w:eastAsia="宋体" w:cs="Times New Roman"/>
                <w:i/>
                <w:sz w:val="24"/>
                <w:szCs w:val="24"/>
                <w:lang w:val="en-US"/>
              </w:rPr>
            </m:ctrlPr>
          </m:sSubPr>
          <m:e>
            <m:r>
              <m:rPr>
                <m:nor/>
              </m:rPr>
              <w:rPr>
                <w:rFonts w:hint="default" w:ascii="Times New Roman" w:hAnsi="Times New Roman" w:eastAsia="宋体" w:cs="Times New Roman"/>
                <w:i/>
                <w:sz w:val="24"/>
                <w:szCs w:val="24"/>
                <w:lang w:val="en-US" w:eastAsia="zh-CN"/>
              </w:rPr>
              <m:t>d</m:t>
            </m:r>
            <m:ctrlPr>
              <w:rPr>
                <w:rFonts w:hint="default" w:ascii="Cambria Math" w:hAnsi="Cambria Math" w:eastAsia="宋体" w:cs="Times New Roman"/>
                <w:i/>
                <w:sz w:val="24"/>
                <w:szCs w:val="24"/>
                <w:lang w:val="en-US"/>
              </w:rPr>
            </m:ctrlPr>
          </m:e>
          <m:sub>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i/>
                <w:sz w:val="24"/>
                <w:szCs w:val="24"/>
                <w:lang w:val="en-US"/>
              </w:rPr>
            </m:ctrlPr>
          </m:sub>
        </m:sSub>
      </m:oMath>
      <w:r>
        <w:rPr>
          <w:rFonts w:hint="default" w:ascii="Times New Roman" w:hAnsi="Times New Roman" w:eastAsia="宋体" w:cs="Times New Roman"/>
          <w:sz w:val="24"/>
          <w:szCs w:val="24"/>
          <w:lang w:val="en-US" w:eastAsia="zh-CN"/>
        </w:rPr>
        <w:t>，光通量计的读数</w:t>
      </w:r>
      <m:oMath>
        <m:sSub>
          <m:sSubPr>
            <m:ctrlPr>
              <w:rPr>
                <w:rFonts w:hint="default" w:ascii="Cambria Math" w:hAnsi="Cambria Math" w:eastAsia="宋体" w:cs="Times New Roman"/>
                <w:sz w:val="24"/>
                <w:szCs w:val="24"/>
                <w:lang w:val="en-US"/>
              </w:rPr>
            </m:ctrlPr>
          </m:sSubPr>
          <m:e>
            <m:r>
              <m:rPr>
                <m:nor/>
                <m:sty m:val="p"/>
              </m:rPr>
              <w:rPr>
                <w:rFonts w:hint="default" w:ascii="Times New Roman" w:hAnsi="Times New Roman" w:eastAsia="宋体" w:cs="Times New Roman"/>
                <w:b w:val="0"/>
                <w:i w:val="0"/>
                <w:sz w:val="24"/>
                <w:szCs w:val="24"/>
                <w:lang w:val="en-US"/>
              </w:rPr>
              <m:t>Φ</m:t>
            </m:r>
            <m:ctrlPr>
              <w:rPr>
                <w:rFonts w:hint="default" w:ascii="Cambria Math" w:hAnsi="Cambria Math" w:eastAsia="宋体" w:cs="Times New Roman"/>
                <w:sz w:val="24"/>
                <w:szCs w:val="24"/>
                <w:lang w:val="en-US"/>
              </w:rPr>
            </m:ctrlPr>
          </m:e>
          <m:sub>
            <m:r>
              <m:rPr>
                <m:nor/>
                <m:sty m:val="p"/>
              </m:rPr>
              <w:rPr>
                <w:rFonts w:hint="default" w:ascii="Times New Roman" w:hAnsi="Times New Roman" w:eastAsia="宋体" w:cs="Times New Roman"/>
                <w:b w:val="0"/>
                <w:i w:val="0"/>
                <w:sz w:val="24"/>
                <w:szCs w:val="24"/>
                <w:lang w:val="en-US" w:eastAsia="zh-CN"/>
              </w:rPr>
              <m:t xml:space="preserve">t, </m:t>
            </m:r>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sz w:val="24"/>
                <w:szCs w:val="24"/>
                <w:lang w:val="en-US"/>
              </w:rPr>
            </m:ctrlPr>
          </m:sub>
        </m:sSub>
      </m:oMath>
      <w:r>
        <w:rPr>
          <w:rFonts w:hint="default" w:ascii="Times New Roman" w:hAnsi="Times New Roman" w:eastAsia="宋体" w:cs="Times New Roman"/>
          <w:i w:val="0"/>
          <w:sz w:val="24"/>
          <w:szCs w:val="24"/>
          <w:lang w:val="en-US" w:eastAsia="zh-CN"/>
        </w:rPr>
        <w:t>。</w:t>
      </w:r>
    </w:p>
    <w:p w14:paraId="5FE84C4E">
      <w:pPr>
        <w:numPr>
          <w:ilvl w:val="0"/>
          <w:numId w:val="3"/>
        </w:numPr>
        <w:adjustRightInd w:val="0"/>
        <w:snapToGrid w:val="0"/>
        <w:ind w:firstLine="42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改变发光强度标准灯到积分球开口的距离，并重复7.2.2.1（3）的规定步骤。</w:t>
      </w:r>
    </w:p>
    <w:p w14:paraId="64364995">
      <w:pPr>
        <w:numPr>
          <w:ilvl w:val="0"/>
          <w:numId w:val="3"/>
        </w:numPr>
        <w:adjustRightInd w:val="0"/>
        <w:snapToGrid w:val="0"/>
        <w:ind w:firstLine="42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根据校准范围的要求，调整发光强度标准灯类型，并按7.2.2.1（1）重新安装调整后重复7.2.2.1（2）到（4）的校准步骤。</w:t>
      </w:r>
    </w:p>
    <w:p w14:paraId="7AB9D787">
      <w:pPr>
        <w:numPr>
          <w:ilvl w:val="0"/>
          <w:numId w:val="3"/>
        </w:numPr>
        <w:bidi w:val="0"/>
        <w:adjustRightInd w:val="0"/>
        <w:snapToGrid w:val="0"/>
        <w:ind w:firstLine="420" w:firstLine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数据处理。发光强度为</w:t>
      </w:r>
      <m:oMath>
        <m:sSub>
          <m:sSubPr>
            <m:ctrlPr>
              <w:rPr>
                <w:rFonts w:hint="default" w:ascii="Cambria Math" w:hAnsi="Cambria Math" w:eastAsia="宋体" w:cs="Times New Roman"/>
                <w:sz w:val="24"/>
                <w:szCs w:val="24"/>
                <w:lang w:val="en-US"/>
              </w:rPr>
            </m:ctrlPr>
          </m:sSubPr>
          <m:e>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sz w:val="24"/>
                <w:szCs w:val="24"/>
                <w:lang w:val="en-US"/>
              </w:rPr>
            </m:ctrlPr>
          </m:e>
          <m:sub>
            <m:r>
              <m:rPr>
                <m:nor/>
                <m:sty m:val="p"/>
              </m:rPr>
              <w:rPr>
                <w:rFonts w:hint="default" w:ascii="Times New Roman" w:hAnsi="Times New Roman" w:eastAsia="宋体" w:cs="Times New Roman"/>
                <w:b w:val="0"/>
                <w:i w:val="0"/>
                <w:sz w:val="24"/>
                <w:szCs w:val="24"/>
                <w:lang w:val="en-US" w:eastAsia="zh-CN"/>
              </w:rPr>
              <m:t>s</m:t>
            </m:r>
            <m:ctrlPr>
              <w:rPr>
                <w:rFonts w:hint="default" w:ascii="Cambria Math" w:hAnsi="Cambria Math" w:eastAsia="宋体" w:cs="Times New Roman"/>
                <w:sz w:val="24"/>
                <w:szCs w:val="24"/>
                <w:lang w:val="en-US"/>
              </w:rPr>
            </m:ctrlPr>
          </m:sub>
        </m:sSub>
      </m:oMath>
      <w:r>
        <w:rPr>
          <w:rFonts w:hint="default" w:ascii="Times New Roman" w:hAnsi="Times New Roman" w:eastAsia="宋体" w:cs="Times New Roman"/>
          <w:i w:val="0"/>
          <w:sz w:val="24"/>
          <w:szCs w:val="24"/>
          <w:lang w:val="en-US" w:eastAsia="zh-CN"/>
        </w:rPr>
        <w:t>的</w:t>
      </w:r>
      <w:r>
        <w:rPr>
          <w:rFonts w:hint="default" w:ascii="Times New Roman" w:hAnsi="Times New Roman" w:eastAsia="宋体" w:cs="Times New Roman"/>
          <w:sz w:val="24"/>
          <w:szCs w:val="24"/>
          <w:lang w:val="en-US" w:eastAsia="zh-CN"/>
        </w:rPr>
        <w:t>发光强度标准灯在一定距离处产生均匀光照场，通过面积为</w:t>
      </w:r>
      <m:oMath>
        <m:r>
          <m:rPr>
            <m:nor/>
          </m:rPr>
          <w:rPr>
            <w:rFonts w:hint="default" w:ascii="Times New Roman" w:hAnsi="Times New Roman" w:eastAsia="宋体" w:cs="Times New Roman"/>
            <w:i/>
            <w:sz w:val="24"/>
            <w:szCs w:val="24"/>
            <w:lang w:val="en-US" w:eastAsia="zh-CN"/>
          </w:rPr>
          <m:t>A</m:t>
        </m:r>
      </m:oMath>
      <w:r>
        <w:rPr>
          <w:rFonts w:hint="default" w:ascii="Times New Roman" w:hAnsi="Times New Roman" w:eastAsia="宋体" w:cs="Times New Roman"/>
          <w:i w:val="0"/>
          <w:iCs w:val="0"/>
          <w:sz w:val="24"/>
          <w:szCs w:val="24"/>
          <w:lang w:val="en-US" w:eastAsia="zh-CN"/>
        </w:rPr>
        <w:t>的限制</w:t>
      </w:r>
      <w:r>
        <w:rPr>
          <w:rFonts w:hint="default" w:ascii="Times New Roman" w:hAnsi="Times New Roman" w:eastAsia="宋体" w:cs="Times New Roman"/>
          <w:sz w:val="24"/>
          <w:szCs w:val="24"/>
          <w:lang w:val="en-US" w:eastAsia="zh-CN"/>
        </w:rPr>
        <w:t>光拦（或积分球开口，以限制面为准）后，在第</w:t>
      </w:r>
      <m:oMath>
        <m:r>
          <m:rPr>
            <m:nor/>
          </m:rPr>
          <w:rPr>
            <w:rFonts w:hint="default" w:ascii="Times New Roman" w:hAnsi="Times New Roman" w:eastAsia="宋体" w:cs="Times New Roman"/>
            <w:i/>
            <w:kern w:val="2"/>
            <w:sz w:val="24"/>
            <w:szCs w:val="24"/>
            <w:lang w:val="en-US" w:eastAsia="zh-CN" w:bidi="ar-SA"/>
          </w:rPr>
          <m:t>i</m:t>
        </m:r>
      </m:oMath>
      <w:r>
        <w:rPr>
          <w:rFonts w:hint="default" w:ascii="Times New Roman" w:hAnsi="Times New Roman" w:eastAsia="宋体" w:cs="Times New Roman"/>
          <w:sz w:val="24"/>
          <w:szCs w:val="24"/>
          <w:lang w:val="en-US" w:eastAsia="zh-CN"/>
        </w:rPr>
        <w:t>次测试时，其光束的光通量标准值</w:t>
      </w:r>
      <m:oMath>
        <m:sSub>
          <m:sSubPr>
            <m:ctrlPr>
              <w:rPr>
                <w:rFonts w:hint="default" w:ascii="Cambria Math" w:hAnsi="Cambria Math" w:eastAsia="宋体" w:cs="Times New Roman"/>
                <w:sz w:val="24"/>
                <w:szCs w:val="24"/>
                <w:lang w:val="en-US"/>
              </w:rPr>
            </m:ctrlPr>
          </m:sSubPr>
          <m:e>
            <m:r>
              <m:rPr>
                <m:nor/>
                <m:sty m:val="p"/>
              </m:rPr>
              <w:rPr>
                <w:rFonts w:hint="default" w:ascii="Times New Roman" w:hAnsi="Times New Roman" w:eastAsia="宋体" w:cs="Times New Roman"/>
                <w:b w:val="0"/>
                <w:i w:val="0"/>
                <w:sz w:val="24"/>
                <w:szCs w:val="24"/>
                <w:lang w:val="en-US"/>
              </w:rPr>
              <m:t>Φ</m:t>
            </m:r>
            <m:ctrlPr>
              <w:rPr>
                <w:rFonts w:hint="default" w:ascii="Cambria Math" w:hAnsi="Cambria Math" w:eastAsia="宋体" w:cs="Times New Roman"/>
                <w:sz w:val="24"/>
                <w:szCs w:val="24"/>
                <w:lang w:val="en-US"/>
              </w:rPr>
            </m:ctrlPr>
          </m:e>
          <m:sub>
            <m:r>
              <m:rPr>
                <m:nor/>
                <m:sty m:val="p"/>
              </m:rPr>
              <w:rPr>
                <w:rFonts w:hint="default" w:ascii="Times New Roman" w:hAnsi="Times New Roman" w:eastAsia="宋体" w:cs="Times New Roman"/>
                <w:b w:val="0"/>
                <w:i w:val="0"/>
                <w:sz w:val="24"/>
                <w:szCs w:val="24"/>
                <w:lang w:val="en-US" w:eastAsia="zh-CN"/>
              </w:rPr>
              <m:t xml:space="preserve">s, </m:t>
            </m:r>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sz w:val="24"/>
                <w:szCs w:val="24"/>
                <w:lang w:val="en-US"/>
              </w:rPr>
            </m:ctrlPr>
          </m:sub>
        </m:sSub>
      </m:oMath>
      <w:r>
        <w:rPr>
          <w:rFonts w:hint="default" w:ascii="Times New Roman" w:hAnsi="Times New Roman" w:eastAsia="宋体" w:cs="Times New Roman"/>
          <w:sz w:val="24"/>
          <w:szCs w:val="24"/>
          <w:lang w:val="en-US" w:eastAsia="zh-CN"/>
        </w:rPr>
        <w:t>为</w:t>
      </w:r>
    </w:p>
    <w:p w14:paraId="1C7A0290">
      <w:pPr>
        <w:bidi w:val="0"/>
        <w:ind w:firstLine="420" w:firstLineChars="0"/>
        <w:rPr>
          <w:rFonts w:hint="default" w:ascii="Times New Roman" w:hAnsi="Times New Roman" w:eastAsia="宋体" w:cs="Times New Roman"/>
          <w:sz w:val="24"/>
          <w:szCs w:val="24"/>
          <w:lang w:val="en-US" w:eastAsia="zh-CN"/>
        </w:rPr>
      </w:pPr>
      <m:oMathPara>
        <m:oMath>
          <m:sSub>
            <m:sSubPr>
              <m:ctrlPr>
                <w:rPr>
                  <w:rFonts w:hint="default" w:ascii="Cambria Math" w:hAnsi="Cambria Math" w:eastAsia="宋体" w:cs="Times New Roman"/>
                  <w:sz w:val="24"/>
                  <w:szCs w:val="24"/>
                  <w:lang w:val="en-US"/>
                </w:rPr>
              </m:ctrlPr>
            </m:sSubPr>
            <m:e>
              <m:r>
                <m:rPr>
                  <m:nor/>
                  <m:sty m:val="p"/>
                </m:rPr>
                <w:rPr>
                  <w:rFonts w:hint="default" w:ascii="Times New Roman" w:hAnsi="Times New Roman" w:eastAsia="宋体" w:cs="Times New Roman"/>
                  <w:b w:val="0"/>
                  <w:i w:val="0"/>
                  <w:sz w:val="24"/>
                  <w:szCs w:val="24"/>
                  <w:lang w:val="en-US"/>
                </w:rPr>
                <m:t>Φ</m:t>
              </m:r>
              <m:ctrlPr>
                <w:rPr>
                  <w:rFonts w:hint="default" w:ascii="Cambria Math" w:hAnsi="Cambria Math" w:eastAsia="宋体" w:cs="Times New Roman"/>
                  <w:sz w:val="24"/>
                  <w:szCs w:val="24"/>
                  <w:lang w:val="en-US"/>
                </w:rPr>
              </m:ctrlPr>
            </m:e>
            <m:sub>
              <m:r>
                <m:rPr>
                  <m:nor/>
                  <m:sty m:val="p"/>
                </m:rPr>
                <w:rPr>
                  <w:rFonts w:hint="default" w:ascii="Times New Roman" w:hAnsi="Times New Roman" w:eastAsia="宋体" w:cs="Times New Roman"/>
                  <w:b w:val="0"/>
                  <w:i w:val="0"/>
                  <w:sz w:val="24"/>
                  <w:szCs w:val="24"/>
                  <w:lang w:val="en-US" w:eastAsia="zh-CN"/>
                </w:rPr>
                <m:t xml:space="preserve">s, </m:t>
              </m:r>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sz w:val="24"/>
                  <w:szCs w:val="24"/>
                  <w:lang w:val="en-US"/>
                </w:rPr>
              </m:ctrlPr>
            </m:sub>
          </m:sSub>
          <m:r>
            <m:rPr>
              <m:nor/>
              <m:sty m:val="p"/>
            </m:rPr>
            <w:rPr>
              <w:rFonts w:hint="default" w:ascii="Times New Roman" w:hAnsi="Times New Roman" w:eastAsia="宋体" w:cs="Times New Roman"/>
              <w:b w:val="0"/>
              <w:i w:val="0"/>
              <w:sz w:val="24"/>
              <w:szCs w:val="24"/>
              <w:lang w:val="en-US" w:eastAsia="zh-CN"/>
            </w:rPr>
            <m:t>=</m:t>
          </m:r>
          <m:f>
            <m:fPr>
              <m:ctrlPr>
                <w:rPr>
                  <w:rFonts w:hint="default" w:ascii="Cambria Math" w:hAnsi="Cambria Math" w:eastAsia="宋体" w:cs="Times New Roman"/>
                  <w:sz w:val="24"/>
                  <w:szCs w:val="24"/>
                  <w:lang w:val="en-US" w:eastAsia="zh-CN"/>
                </w:rPr>
              </m:ctrlPr>
            </m:fPr>
            <m:num>
              <m:sSub>
                <m:sSubPr>
                  <m:ctrlPr>
                    <w:rPr>
                      <w:rFonts w:hint="default" w:ascii="Cambria Math" w:hAnsi="Cambria Math" w:eastAsia="宋体" w:cs="Times New Roman"/>
                      <w:sz w:val="24"/>
                      <w:szCs w:val="24"/>
                      <w:lang w:val="en-US"/>
                    </w:rPr>
                  </m:ctrlPr>
                </m:sSubPr>
                <m:e>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sz w:val="24"/>
                      <w:szCs w:val="24"/>
                      <w:lang w:val="en-US"/>
                    </w:rPr>
                  </m:ctrlPr>
                </m:e>
                <m:sub>
                  <m:r>
                    <m:rPr>
                      <m:nor/>
                      <m:sty m:val="p"/>
                    </m:rPr>
                    <w:rPr>
                      <w:rFonts w:hint="default" w:ascii="Times New Roman" w:hAnsi="Times New Roman" w:eastAsia="宋体" w:cs="Times New Roman"/>
                      <w:b w:val="0"/>
                      <w:i w:val="0"/>
                      <w:sz w:val="24"/>
                      <w:szCs w:val="24"/>
                      <w:lang w:val="en-US" w:eastAsia="zh-CN"/>
                    </w:rPr>
                    <m:t>s</m:t>
                  </m:r>
                  <m:ctrlPr>
                    <w:rPr>
                      <w:rFonts w:hint="default" w:ascii="Cambria Math" w:hAnsi="Cambria Math" w:eastAsia="宋体" w:cs="Times New Roman"/>
                      <w:sz w:val="24"/>
                      <w:szCs w:val="24"/>
                      <w:lang w:val="en-US"/>
                    </w:rPr>
                  </m:ctrlPr>
                </m:sub>
              </m:sSub>
              <m:ctrlPr>
                <w:rPr>
                  <w:rFonts w:hint="default" w:ascii="Cambria Math" w:hAnsi="Cambria Math" w:eastAsia="宋体" w:cs="Times New Roman"/>
                  <w:sz w:val="24"/>
                  <w:szCs w:val="24"/>
                  <w:lang w:val="en-US" w:eastAsia="zh-CN"/>
                </w:rPr>
              </m:ctrlPr>
            </m:num>
            <m:den>
              <m:sSup>
                <m:sSupPr>
                  <m:ctrlPr>
                    <w:rPr>
                      <w:rFonts w:hint="default" w:ascii="Cambria Math" w:hAnsi="Cambria Math" w:eastAsia="宋体" w:cs="Times New Roman"/>
                      <w:sz w:val="24"/>
                      <w:szCs w:val="24"/>
                      <w:lang w:val="en-US" w:eastAsia="zh-CN"/>
                    </w:rPr>
                  </m:ctrlPr>
                </m:sSupPr>
                <m:e>
                  <m:sSub>
                    <m:sSubPr>
                      <m:ctrlPr>
                        <w:rPr>
                          <w:rFonts w:hint="default" w:ascii="Cambria Math" w:hAnsi="Cambria Math" w:eastAsia="宋体" w:cs="Times New Roman"/>
                          <w:i/>
                          <w:sz w:val="24"/>
                          <w:szCs w:val="24"/>
                          <w:lang w:val="en-US"/>
                        </w:rPr>
                      </m:ctrlPr>
                    </m:sSubPr>
                    <m:e>
                      <m:r>
                        <m:rPr>
                          <m:nor/>
                        </m:rPr>
                        <w:rPr>
                          <w:rFonts w:hint="default" w:ascii="Times New Roman" w:hAnsi="Times New Roman" w:eastAsia="宋体" w:cs="Times New Roman"/>
                          <w:i/>
                          <w:sz w:val="24"/>
                          <w:szCs w:val="24"/>
                          <w:lang w:val="en-US" w:eastAsia="zh-CN"/>
                        </w:rPr>
                        <m:t>d</m:t>
                      </m:r>
                      <m:ctrlPr>
                        <w:rPr>
                          <w:rFonts w:hint="default" w:ascii="Cambria Math" w:hAnsi="Cambria Math" w:eastAsia="宋体" w:cs="Times New Roman"/>
                          <w:i/>
                          <w:sz w:val="24"/>
                          <w:szCs w:val="24"/>
                          <w:lang w:val="en-US"/>
                        </w:rPr>
                      </m:ctrlPr>
                    </m:e>
                    <m:sub>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i/>
                          <w:sz w:val="24"/>
                          <w:szCs w:val="24"/>
                          <w:lang w:val="en-US"/>
                        </w:rPr>
                      </m:ctrlPr>
                    </m:sub>
                  </m:sSub>
                  <m:ctrlPr>
                    <w:rPr>
                      <w:rFonts w:hint="default" w:ascii="Cambria Math" w:hAnsi="Cambria Math" w:eastAsia="宋体" w:cs="Times New Roman"/>
                      <w:sz w:val="24"/>
                      <w:szCs w:val="24"/>
                      <w:lang w:val="en-US" w:eastAsia="zh-CN"/>
                    </w:rPr>
                  </m:ctrlPr>
                </m:e>
                <m:sup>
                  <m:r>
                    <m:rPr>
                      <m:nor/>
                      <m:sty m:val="p"/>
                    </m:rPr>
                    <w:rPr>
                      <w:rFonts w:hint="default" w:ascii="Times New Roman" w:hAnsi="Times New Roman" w:eastAsia="宋体" w:cs="Times New Roman"/>
                      <w:b w:val="0"/>
                      <w:i w:val="0"/>
                      <w:sz w:val="24"/>
                      <w:szCs w:val="24"/>
                      <w:lang w:val="en-US" w:eastAsia="zh-CN"/>
                    </w:rPr>
                    <m:t>2</m:t>
                  </m:r>
                  <m:ctrlPr>
                    <w:rPr>
                      <w:rFonts w:hint="default" w:ascii="Cambria Math" w:hAnsi="Cambria Math" w:eastAsia="宋体" w:cs="Times New Roman"/>
                      <w:sz w:val="24"/>
                      <w:szCs w:val="24"/>
                      <w:lang w:val="en-US" w:eastAsia="zh-CN"/>
                    </w:rPr>
                  </m:ctrlPr>
                </m:sup>
              </m:sSup>
              <m:ctrlPr>
                <w:rPr>
                  <w:rFonts w:hint="default" w:ascii="Cambria Math" w:hAnsi="Cambria Math" w:eastAsia="宋体" w:cs="Times New Roman"/>
                  <w:sz w:val="24"/>
                  <w:szCs w:val="24"/>
                  <w:lang w:val="en-US" w:eastAsia="zh-CN"/>
                </w:rPr>
              </m:ctrlPr>
            </m:den>
          </m:f>
          <m:r>
            <m:rPr>
              <m:nor/>
              <m:sty m:val="p"/>
            </m:rPr>
            <w:rPr>
              <w:rFonts w:hint="default" w:ascii="Times New Roman" w:hAnsi="Times New Roman" w:eastAsia="宋体" w:cs="Times New Roman"/>
              <w:b w:val="0"/>
              <w:i w:val="0"/>
              <w:sz w:val="24"/>
              <w:szCs w:val="24"/>
              <w:lang w:val="en-US" w:eastAsia="zh-CN"/>
            </w:rPr>
            <m:t>×</m:t>
          </m:r>
          <m:r>
            <m:rPr>
              <m:nor/>
            </m:rPr>
            <w:rPr>
              <w:rFonts w:hint="default" w:ascii="Times New Roman" w:hAnsi="Times New Roman" w:eastAsia="宋体" w:cs="Times New Roman"/>
              <w:i/>
              <w:sz w:val="24"/>
              <w:szCs w:val="24"/>
              <w:lang w:val="en-US" w:eastAsia="zh-CN"/>
            </w:rPr>
            <m:t>A</m:t>
          </m:r>
        </m:oMath>
      </m:oMathPara>
    </w:p>
    <w:p w14:paraId="57B851B1">
      <w:pPr>
        <w:numPr>
          <w:ilvl w:val="0"/>
          <w:numId w:val="0"/>
        </w:numPr>
        <w:bidi w:val="0"/>
        <w:adjustRightInd w:val="0"/>
        <w:snapToGrid w:val="0"/>
        <w:rPr>
          <w:rFonts w:hint="default" w:ascii="Times New Roman" w:hAnsi="Times New Roman" w:eastAsia="宋体" w:cs="Times New Roman"/>
          <w:i w:val="0"/>
          <w:sz w:val="24"/>
          <w:szCs w:val="24"/>
          <w:lang w:val="en-US" w:eastAsia="zh-CN"/>
        </w:rPr>
      </w:pPr>
      <w:r>
        <w:rPr>
          <w:rFonts w:hint="default" w:ascii="Times New Roman" w:hAnsi="Times New Roman" w:eastAsia="宋体" w:cs="Times New Roman"/>
          <w:sz w:val="24"/>
          <w:szCs w:val="24"/>
          <w:lang w:val="en-US" w:eastAsia="zh-CN"/>
        </w:rPr>
        <w:t>其中，</w:t>
      </w:r>
      <m:oMath>
        <m:sSub>
          <m:sSubPr>
            <m:ctrlPr>
              <w:rPr>
                <w:rFonts w:hint="default" w:ascii="Cambria Math" w:hAnsi="Cambria Math" w:eastAsia="宋体" w:cs="Times New Roman"/>
                <w:i/>
                <w:sz w:val="24"/>
                <w:szCs w:val="24"/>
                <w:lang w:val="en-US"/>
              </w:rPr>
            </m:ctrlPr>
          </m:sSubPr>
          <m:e>
            <m:r>
              <m:rPr>
                <m:nor/>
              </m:rPr>
              <w:rPr>
                <w:rFonts w:hint="default" w:ascii="Times New Roman" w:hAnsi="Times New Roman" w:eastAsia="宋体" w:cs="Times New Roman"/>
                <w:i/>
                <w:sz w:val="24"/>
                <w:szCs w:val="24"/>
                <w:lang w:val="en-US" w:eastAsia="zh-CN"/>
              </w:rPr>
              <m:t>d</m:t>
            </m:r>
            <m:ctrlPr>
              <w:rPr>
                <w:rFonts w:hint="default" w:ascii="Cambria Math" w:hAnsi="Cambria Math" w:eastAsia="宋体" w:cs="Times New Roman"/>
                <w:i/>
                <w:sz w:val="24"/>
                <w:szCs w:val="24"/>
                <w:lang w:val="en-US"/>
              </w:rPr>
            </m:ctrlPr>
          </m:e>
          <m:sub>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i/>
                <w:sz w:val="24"/>
                <w:szCs w:val="24"/>
                <w:lang w:val="en-US"/>
              </w:rPr>
            </m:ctrlPr>
          </m:sub>
        </m:sSub>
      </m:oMath>
      <w:r>
        <w:rPr>
          <w:rFonts w:hint="default" w:ascii="Times New Roman" w:hAnsi="Times New Roman" w:eastAsia="宋体" w:cs="Times New Roman"/>
          <w:i w:val="0"/>
          <w:sz w:val="24"/>
          <w:szCs w:val="24"/>
          <w:lang w:val="en-US" w:eastAsia="zh-CN"/>
        </w:rPr>
        <w:t xml:space="preserve"> 是第发光强度标准灯到光拦的距离。</w:t>
      </w:r>
    </w:p>
    <w:p w14:paraId="18F31C05">
      <w:pPr>
        <w:bidi w:val="0"/>
        <w:adjustRightInd w:val="0"/>
        <w:snapToGrid w:val="0"/>
        <w:ind w:firstLine="420" w:firstLineChars="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lang w:val="en-US" w:eastAsia="zh-CN"/>
        </w:rPr>
        <w:t>比较第次测试时，标准光通量值</w:t>
      </w:r>
      <m:oMath>
        <m:sSub>
          <m:sSubPr>
            <m:ctrlPr>
              <w:rPr>
                <w:rFonts w:hint="default" w:ascii="Cambria Math" w:hAnsi="Cambria Math" w:eastAsia="宋体" w:cs="Times New Roman"/>
                <w:sz w:val="24"/>
                <w:szCs w:val="24"/>
                <w:lang w:val="en-US"/>
              </w:rPr>
            </m:ctrlPr>
          </m:sSubPr>
          <m:e>
            <m:r>
              <m:rPr>
                <m:nor/>
                <m:sty m:val="p"/>
              </m:rPr>
              <w:rPr>
                <w:rFonts w:hint="default" w:ascii="Times New Roman" w:hAnsi="Times New Roman" w:eastAsia="宋体" w:cs="Times New Roman"/>
                <w:b w:val="0"/>
                <w:i w:val="0"/>
                <w:sz w:val="24"/>
                <w:szCs w:val="24"/>
                <w:lang w:val="en-US"/>
              </w:rPr>
              <m:t>Φ</m:t>
            </m:r>
            <m:ctrlPr>
              <w:rPr>
                <w:rFonts w:hint="default" w:ascii="Cambria Math" w:hAnsi="Cambria Math" w:eastAsia="宋体" w:cs="Times New Roman"/>
                <w:sz w:val="24"/>
                <w:szCs w:val="24"/>
                <w:lang w:val="en-US"/>
              </w:rPr>
            </m:ctrlPr>
          </m:e>
          <m:sub>
            <m:r>
              <m:rPr>
                <m:nor/>
                <m:sty m:val="p"/>
              </m:rPr>
              <w:rPr>
                <w:rFonts w:hint="default" w:ascii="Times New Roman" w:hAnsi="Times New Roman" w:eastAsia="宋体" w:cs="Times New Roman"/>
                <w:b w:val="0"/>
                <w:i w:val="0"/>
                <w:sz w:val="24"/>
                <w:szCs w:val="24"/>
                <w:lang w:val="en-US" w:eastAsia="zh-CN"/>
              </w:rPr>
              <m:t xml:space="preserve">s, </m:t>
            </m:r>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sz w:val="24"/>
                <w:szCs w:val="24"/>
                <w:lang w:val="en-US"/>
              </w:rPr>
            </m:ctrlPr>
          </m:sub>
        </m:sSub>
      </m:oMath>
      <w:r>
        <w:rPr>
          <w:rFonts w:hint="default" w:ascii="Times New Roman" w:hAnsi="Times New Roman" w:eastAsia="宋体" w:cs="Times New Roman"/>
          <w:sz w:val="24"/>
          <w:szCs w:val="24"/>
          <w:lang w:val="en-US" w:eastAsia="zh-CN"/>
        </w:rPr>
        <w:t>和被校准光通量计的光通量读数</w:t>
      </w:r>
      <m:oMath>
        <m:sSub>
          <m:sSubPr>
            <m:ctrlPr>
              <w:rPr>
                <w:rFonts w:hint="default" w:ascii="Cambria Math" w:hAnsi="Cambria Math" w:eastAsia="宋体" w:cs="Times New Roman"/>
                <w:sz w:val="24"/>
                <w:szCs w:val="24"/>
                <w:lang w:val="en-US"/>
              </w:rPr>
            </m:ctrlPr>
          </m:sSubPr>
          <m:e>
            <m:r>
              <m:rPr>
                <m:nor/>
                <m:sty m:val="p"/>
              </m:rPr>
              <w:rPr>
                <w:rFonts w:hint="default" w:ascii="Times New Roman" w:hAnsi="Times New Roman" w:eastAsia="宋体" w:cs="Times New Roman"/>
                <w:b w:val="0"/>
                <w:i w:val="0"/>
                <w:sz w:val="24"/>
                <w:szCs w:val="24"/>
                <w:lang w:val="en-US"/>
              </w:rPr>
              <m:t>Φ</m:t>
            </m:r>
            <m:ctrlPr>
              <w:rPr>
                <w:rFonts w:hint="default" w:ascii="Cambria Math" w:hAnsi="Cambria Math" w:eastAsia="宋体" w:cs="Times New Roman"/>
                <w:sz w:val="24"/>
                <w:szCs w:val="24"/>
                <w:lang w:val="en-US"/>
              </w:rPr>
            </m:ctrlPr>
          </m:e>
          <m:sub>
            <m:r>
              <m:rPr>
                <m:nor/>
                <m:sty m:val="p"/>
              </m:rPr>
              <w:rPr>
                <w:rFonts w:hint="default" w:ascii="Times New Roman" w:hAnsi="Times New Roman" w:eastAsia="宋体" w:cs="Times New Roman"/>
                <w:b w:val="0"/>
                <w:i w:val="0"/>
                <w:sz w:val="24"/>
                <w:szCs w:val="24"/>
                <w:lang w:val="en-US" w:eastAsia="zh-CN"/>
              </w:rPr>
              <m:t xml:space="preserve">t, </m:t>
            </m:r>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sz w:val="24"/>
                <w:szCs w:val="24"/>
                <w:lang w:val="en-US"/>
              </w:rPr>
            </m:ctrlPr>
          </m:sub>
        </m:sSub>
      </m:oMath>
      <w:r>
        <w:rPr>
          <w:rFonts w:hint="default" w:ascii="Times New Roman" w:hAnsi="Times New Roman" w:eastAsia="宋体" w:cs="Times New Roman"/>
          <w:sz w:val="24"/>
          <w:szCs w:val="24"/>
          <w:lang w:val="en-US" w:eastAsia="zh-CN"/>
        </w:rPr>
        <w:t>，计算其</w:t>
      </w:r>
      <w:r>
        <w:rPr>
          <w:rFonts w:hint="default" w:ascii="Times New Roman" w:hAnsi="Times New Roman" w:eastAsia="宋体" w:cs="Times New Roman"/>
          <w:sz w:val="24"/>
          <w:szCs w:val="24"/>
          <w:highlight w:val="none"/>
          <w:lang w:val="en-US" w:eastAsia="zh-CN"/>
        </w:rPr>
        <w:t>光通量相对示值偏差</w:t>
      </w:r>
      <m:oMath>
        <m:sSub>
          <m:sSubPr>
            <m:ctrlPr>
              <w:rPr>
                <w:rFonts w:hint="default" w:ascii="Cambria Math" w:hAnsi="Cambria Math" w:eastAsia="宋体" w:cs="Times New Roman"/>
                <w:i/>
                <w:sz w:val="24"/>
                <w:szCs w:val="24"/>
                <w:lang w:val="en-US"/>
              </w:rPr>
            </m:ctrlPr>
          </m:sSubPr>
          <m:e>
            <m:r>
              <m:rPr>
                <m:nor/>
              </m:rPr>
              <w:rPr>
                <w:rFonts w:hint="default" w:ascii="Times New Roman" w:hAnsi="Times New Roman" w:eastAsia="宋体" w:cs="Times New Roman"/>
                <w:i/>
                <w:sz w:val="24"/>
                <w:szCs w:val="24"/>
                <w:lang w:val="en-US"/>
              </w:rPr>
              <m:t>η</m:t>
            </m:r>
            <m:ctrlPr>
              <w:rPr>
                <w:rFonts w:hint="default" w:ascii="Cambria Math" w:hAnsi="Cambria Math" w:eastAsia="宋体" w:cs="Times New Roman"/>
                <w:i/>
                <w:sz w:val="24"/>
                <w:szCs w:val="24"/>
                <w:lang w:val="en-US"/>
              </w:rPr>
            </m:ctrlPr>
          </m:e>
          <m:sub>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i/>
                <w:sz w:val="24"/>
                <w:szCs w:val="24"/>
                <w:lang w:val="en-US"/>
              </w:rPr>
            </m:ctrlPr>
          </m:sub>
        </m:sSub>
      </m:oMath>
      <w:r>
        <w:rPr>
          <w:rFonts w:hint="default" w:ascii="Times New Roman" w:hAnsi="Times New Roman" w:eastAsia="宋体" w:cs="Times New Roman"/>
          <w:sz w:val="24"/>
          <w:szCs w:val="24"/>
          <w:highlight w:val="none"/>
          <w:lang w:val="en-US" w:eastAsia="zh-CN"/>
        </w:rPr>
        <w:t>。</w:t>
      </w:r>
    </w:p>
    <w:p w14:paraId="696015B0">
      <w:pPr>
        <w:bidi w:val="0"/>
        <w:ind w:firstLine="420" w:firstLineChars="0"/>
        <w:rPr>
          <w:rFonts w:hint="default" w:ascii="Times New Roman" w:hAnsi="Times New Roman" w:eastAsia="宋体" w:cs="Times New Roman"/>
          <w:sz w:val="24"/>
          <w:szCs w:val="24"/>
          <w:lang w:val="en-US" w:eastAsia="zh-CN"/>
        </w:rPr>
      </w:pPr>
      <m:oMathPara>
        <m:oMath>
          <m:sSub>
            <m:sSubPr>
              <m:ctrlPr>
                <w:rPr>
                  <w:rFonts w:hint="default" w:ascii="Cambria Math" w:hAnsi="Cambria Math" w:eastAsia="宋体" w:cs="Times New Roman"/>
                  <w:i/>
                  <w:sz w:val="24"/>
                  <w:szCs w:val="24"/>
                  <w:lang w:val="en-US"/>
                </w:rPr>
              </m:ctrlPr>
            </m:sSubPr>
            <m:e>
              <m:r>
                <m:rPr>
                  <m:nor/>
                </m:rPr>
                <w:rPr>
                  <w:rFonts w:hint="default" w:ascii="Times New Roman" w:hAnsi="Times New Roman" w:eastAsia="宋体" w:cs="Times New Roman"/>
                  <w:i/>
                  <w:sz w:val="24"/>
                  <w:szCs w:val="24"/>
                  <w:lang w:val="en-US"/>
                </w:rPr>
                <m:t>η</m:t>
              </m:r>
              <m:ctrlPr>
                <w:rPr>
                  <w:rFonts w:hint="default" w:ascii="Cambria Math" w:hAnsi="Cambria Math" w:eastAsia="宋体" w:cs="Times New Roman"/>
                  <w:i/>
                  <w:sz w:val="24"/>
                  <w:szCs w:val="24"/>
                  <w:lang w:val="en-US"/>
                </w:rPr>
              </m:ctrlPr>
            </m:e>
            <m:sub>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i/>
                  <w:sz w:val="24"/>
                  <w:szCs w:val="24"/>
                  <w:lang w:val="en-US"/>
                </w:rPr>
              </m:ctrlPr>
            </m:sub>
          </m:sSub>
          <m:r>
            <m:rPr>
              <m:nor/>
              <m:sty m:val="p"/>
            </m:rPr>
            <w:rPr>
              <w:rFonts w:hint="default" w:ascii="Times New Roman" w:hAnsi="Times New Roman" w:eastAsia="宋体" w:cs="Times New Roman"/>
              <w:b w:val="0"/>
              <w:i w:val="0"/>
              <w:sz w:val="24"/>
              <w:szCs w:val="24"/>
              <w:lang w:val="en-US" w:eastAsia="zh-CN"/>
            </w:rPr>
            <m:t>=</m:t>
          </m:r>
          <m:f>
            <m:fPr>
              <m:ctrlPr>
                <w:rPr>
                  <w:rFonts w:hint="default" w:ascii="Cambria Math" w:hAnsi="Cambria Math" w:eastAsia="宋体" w:cs="Times New Roman"/>
                  <w:sz w:val="24"/>
                  <w:szCs w:val="24"/>
                  <w:lang w:val="en-US" w:eastAsia="zh-CN"/>
                </w:rPr>
              </m:ctrlPr>
            </m:fPr>
            <m:num>
              <m:sSub>
                <m:sSubPr>
                  <m:ctrlPr>
                    <w:rPr>
                      <w:rFonts w:hint="default" w:ascii="Cambria Math" w:hAnsi="Cambria Math" w:eastAsia="宋体" w:cs="Times New Roman"/>
                      <w:sz w:val="24"/>
                      <w:szCs w:val="24"/>
                      <w:lang w:val="en-US"/>
                    </w:rPr>
                  </m:ctrlPr>
                </m:sSubPr>
                <m:e>
                  <m:r>
                    <m:rPr>
                      <m:nor/>
                      <m:sty m:val="p"/>
                    </m:rPr>
                    <w:rPr>
                      <w:rFonts w:hint="default" w:ascii="Times New Roman" w:hAnsi="Times New Roman" w:eastAsia="宋体" w:cs="Times New Roman"/>
                      <w:b w:val="0"/>
                      <w:i w:val="0"/>
                      <w:sz w:val="24"/>
                      <w:szCs w:val="24"/>
                      <w:lang w:val="en-US"/>
                    </w:rPr>
                    <m:t>Φ</m:t>
                  </m:r>
                  <m:ctrlPr>
                    <w:rPr>
                      <w:rFonts w:hint="default" w:ascii="Cambria Math" w:hAnsi="Cambria Math" w:eastAsia="宋体" w:cs="Times New Roman"/>
                      <w:sz w:val="24"/>
                      <w:szCs w:val="24"/>
                      <w:lang w:val="en-US"/>
                    </w:rPr>
                  </m:ctrlPr>
                </m:e>
                <m:sub>
                  <m:r>
                    <m:rPr>
                      <m:nor/>
                      <m:sty m:val="p"/>
                    </m:rPr>
                    <w:rPr>
                      <w:rFonts w:hint="default" w:ascii="Times New Roman" w:hAnsi="Times New Roman" w:eastAsia="宋体" w:cs="Times New Roman"/>
                      <w:b w:val="0"/>
                      <w:i w:val="0"/>
                      <w:sz w:val="24"/>
                      <w:szCs w:val="24"/>
                      <w:lang w:val="en-US" w:eastAsia="zh-CN"/>
                    </w:rPr>
                    <m:t xml:space="preserve">t, </m:t>
                  </m:r>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sz w:val="24"/>
                      <w:szCs w:val="24"/>
                      <w:lang w:val="en-US"/>
                    </w:rPr>
                  </m:ctrlPr>
                </m:sub>
              </m:sSub>
              <m:r>
                <m:rPr>
                  <m:nor/>
                  <m:sty m:val="p"/>
                </m:rPr>
                <w:rPr>
                  <w:rFonts w:hint="default" w:ascii="Times New Roman" w:hAnsi="Times New Roman" w:eastAsia="宋体" w:cs="Times New Roman"/>
                  <w:b w:val="0"/>
                  <w:i w:val="0"/>
                  <w:sz w:val="24"/>
                  <w:szCs w:val="24"/>
                  <w:lang w:val="en-US" w:eastAsia="zh-CN"/>
                </w:rPr>
                <m:t>−</m:t>
              </m:r>
              <m:sSub>
                <m:sSubPr>
                  <m:ctrlPr>
                    <w:rPr>
                      <w:rFonts w:hint="default" w:ascii="Cambria Math" w:hAnsi="Cambria Math" w:eastAsia="宋体" w:cs="Times New Roman"/>
                      <w:sz w:val="24"/>
                      <w:szCs w:val="24"/>
                      <w:lang w:val="en-US"/>
                    </w:rPr>
                  </m:ctrlPr>
                </m:sSubPr>
                <m:e>
                  <m:r>
                    <m:rPr>
                      <m:nor/>
                      <m:sty m:val="p"/>
                    </m:rPr>
                    <w:rPr>
                      <w:rFonts w:hint="default" w:ascii="Times New Roman" w:hAnsi="Times New Roman" w:eastAsia="宋体" w:cs="Times New Roman"/>
                      <w:b w:val="0"/>
                      <w:i w:val="0"/>
                      <w:sz w:val="24"/>
                      <w:szCs w:val="24"/>
                      <w:lang w:val="en-US"/>
                    </w:rPr>
                    <m:t>Φ</m:t>
                  </m:r>
                  <m:ctrlPr>
                    <w:rPr>
                      <w:rFonts w:hint="default" w:ascii="Cambria Math" w:hAnsi="Cambria Math" w:eastAsia="宋体" w:cs="Times New Roman"/>
                      <w:sz w:val="24"/>
                      <w:szCs w:val="24"/>
                      <w:lang w:val="en-US"/>
                    </w:rPr>
                  </m:ctrlPr>
                </m:e>
                <m:sub>
                  <m:r>
                    <m:rPr>
                      <m:nor/>
                      <m:sty m:val="p"/>
                    </m:rPr>
                    <w:rPr>
                      <w:rFonts w:hint="default" w:ascii="Times New Roman" w:hAnsi="Times New Roman" w:eastAsia="宋体" w:cs="Times New Roman"/>
                      <w:b w:val="0"/>
                      <w:i w:val="0"/>
                      <w:sz w:val="24"/>
                      <w:szCs w:val="24"/>
                      <w:lang w:val="en-US" w:eastAsia="zh-CN"/>
                    </w:rPr>
                    <m:t xml:space="preserve">s, </m:t>
                  </m:r>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sz w:val="24"/>
                      <w:szCs w:val="24"/>
                      <w:lang w:val="en-US"/>
                    </w:rPr>
                  </m:ctrlPr>
                </m:sub>
              </m:sSub>
              <m:ctrlPr>
                <w:rPr>
                  <w:rFonts w:hint="default" w:ascii="Cambria Math" w:hAnsi="Cambria Math" w:eastAsia="宋体" w:cs="Times New Roman"/>
                  <w:sz w:val="24"/>
                  <w:szCs w:val="24"/>
                  <w:lang w:val="en-US" w:eastAsia="zh-CN"/>
                </w:rPr>
              </m:ctrlPr>
            </m:num>
            <m:den>
              <m:sSub>
                <m:sSubPr>
                  <m:ctrlPr>
                    <w:rPr>
                      <w:rFonts w:hint="default" w:ascii="Cambria Math" w:hAnsi="Cambria Math" w:eastAsia="宋体" w:cs="Times New Roman"/>
                      <w:sz w:val="24"/>
                      <w:szCs w:val="24"/>
                      <w:lang w:val="en-US"/>
                    </w:rPr>
                  </m:ctrlPr>
                </m:sSubPr>
                <m:e>
                  <m:r>
                    <m:rPr>
                      <m:nor/>
                      <m:sty m:val="p"/>
                    </m:rPr>
                    <w:rPr>
                      <w:rFonts w:hint="default" w:ascii="Times New Roman" w:hAnsi="Times New Roman" w:eastAsia="宋体" w:cs="Times New Roman"/>
                      <w:b w:val="0"/>
                      <w:i w:val="0"/>
                      <w:sz w:val="24"/>
                      <w:szCs w:val="24"/>
                      <w:lang w:val="en-US"/>
                    </w:rPr>
                    <m:t>Φ</m:t>
                  </m:r>
                  <m:ctrlPr>
                    <w:rPr>
                      <w:rFonts w:hint="default" w:ascii="Cambria Math" w:hAnsi="Cambria Math" w:eastAsia="宋体" w:cs="Times New Roman"/>
                      <w:sz w:val="24"/>
                      <w:szCs w:val="24"/>
                      <w:lang w:val="en-US"/>
                    </w:rPr>
                  </m:ctrlPr>
                </m:e>
                <m:sub>
                  <m:r>
                    <m:rPr>
                      <m:nor/>
                      <m:sty m:val="p"/>
                    </m:rPr>
                    <w:rPr>
                      <w:rFonts w:hint="default" w:ascii="Times New Roman" w:hAnsi="Times New Roman" w:eastAsia="宋体" w:cs="Times New Roman"/>
                      <w:b w:val="0"/>
                      <w:i w:val="0"/>
                      <w:sz w:val="24"/>
                      <w:szCs w:val="24"/>
                      <w:lang w:val="en-US" w:eastAsia="zh-CN"/>
                    </w:rPr>
                    <m:t xml:space="preserve">s, </m:t>
                  </m:r>
                  <m:r>
                    <m:rPr>
                      <m:nor/>
                    </m:rPr>
                    <w:rPr>
                      <w:rFonts w:hint="default" w:ascii="Times New Roman" w:hAnsi="Times New Roman" w:eastAsia="宋体" w:cs="Times New Roman"/>
                      <w:i/>
                      <w:sz w:val="24"/>
                      <w:szCs w:val="24"/>
                      <w:lang w:val="en-US" w:eastAsia="zh-CN"/>
                    </w:rPr>
                    <m:t>i</m:t>
                  </m:r>
                  <m:ctrlPr>
                    <w:rPr>
                      <w:rFonts w:hint="default" w:ascii="Cambria Math" w:hAnsi="Cambria Math" w:eastAsia="宋体" w:cs="Times New Roman"/>
                      <w:sz w:val="24"/>
                      <w:szCs w:val="24"/>
                      <w:lang w:val="en-US"/>
                    </w:rPr>
                  </m:ctrlPr>
                </m:sub>
              </m:sSub>
              <m:ctrlPr>
                <w:rPr>
                  <w:rFonts w:hint="default" w:ascii="Cambria Math" w:hAnsi="Cambria Math" w:eastAsia="宋体" w:cs="Times New Roman"/>
                  <w:sz w:val="24"/>
                  <w:szCs w:val="24"/>
                  <w:lang w:val="en-US" w:eastAsia="zh-CN"/>
                </w:rPr>
              </m:ctrlPr>
            </m:den>
          </m:f>
          <m:r>
            <m:rPr>
              <m:nor/>
              <m:sty m:val="p"/>
            </m:rPr>
            <w:rPr>
              <w:rFonts w:hint="default" w:ascii="Times New Roman" w:hAnsi="Times New Roman" w:eastAsia="宋体" w:cs="Times New Roman"/>
              <w:b w:val="0"/>
              <w:i w:val="0"/>
              <w:sz w:val="24"/>
              <w:szCs w:val="24"/>
              <w:lang w:val="en-US" w:eastAsia="zh-CN"/>
            </w:rPr>
            <m:t>×100%</m:t>
          </m:r>
        </m:oMath>
      </m:oMathPara>
    </w:p>
    <w:p w14:paraId="499C0EE7">
      <w:pPr>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该</w:t>
      </w:r>
      <w:r>
        <w:rPr>
          <w:rFonts w:hint="eastAsia" w:cs="Times New Roman"/>
          <w:sz w:val="24"/>
          <w:szCs w:val="24"/>
          <w:lang w:val="en-US" w:eastAsia="zh-CN"/>
        </w:rPr>
        <w:t>组</w:t>
      </w:r>
      <w:r>
        <w:rPr>
          <w:rFonts w:hint="default" w:ascii="Times New Roman" w:hAnsi="Times New Roman" w:eastAsia="宋体" w:cs="Times New Roman"/>
          <w:sz w:val="24"/>
          <w:szCs w:val="24"/>
          <w:lang w:val="en-US" w:eastAsia="zh-CN"/>
        </w:rPr>
        <w:t>校准实验</w:t>
      </w:r>
      <w:r>
        <w:rPr>
          <w:rFonts w:hint="eastAsia" w:cs="Times New Roman"/>
          <w:sz w:val="24"/>
          <w:szCs w:val="24"/>
          <w:lang w:val="en-US" w:eastAsia="zh-CN"/>
        </w:rPr>
        <w:t>的数据</w:t>
      </w:r>
      <w:r>
        <w:rPr>
          <w:rFonts w:hint="default" w:ascii="Times New Roman" w:hAnsi="Times New Roman" w:eastAsia="宋体" w:cs="Times New Roman"/>
          <w:sz w:val="24"/>
          <w:szCs w:val="24"/>
          <w:lang w:val="en-US" w:eastAsia="zh-CN"/>
        </w:rPr>
        <w:t>如下：</w:t>
      </w:r>
    </w:p>
    <w:p w14:paraId="094A06D6">
      <w:pPr>
        <w:pStyle w:val="19"/>
        <w:jc w:val="both"/>
        <w:rPr>
          <w:rFonts w:hint="default" w:ascii="宋体" w:hAnsi="宋体" w:eastAsia="宋体" w:cs="宋体"/>
          <w:sz w:val="21"/>
          <w:szCs w:val="21"/>
          <w:lang w:val="en-US" w:eastAsia="zh-CN"/>
        </w:rPr>
      </w:pPr>
      <w:r>
        <w:rPr>
          <w:rFonts w:hint="default"/>
          <w:sz w:val="24"/>
          <w:szCs w:val="24"/>
          <w:lang w:val="en-US" w:eastAsia="zh-CN"/>
        </w:rPr>
        <w:br w:type="page"/>
      </w:r>
      <w:r>
        <w:rPr>
          <w:rFonts w:hint="eastAsia" w:ascii="宋体" w:hAnsi="宋体" w:eastAsia="宋体" w:cs="宋体"/>
          <w:sz w:val="21"/>
          <w:szCs w:val="21"/>
          <w:lang w:val="en-US" w:eastAsia="zh-CN"/>
        </w:rPr>
        <w:t>送检单位及地址:NIM，北京市北三环东路18号</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6"/>
        <w:gridCol w:w="2035"/>
        <w:gridCol w:w="2037"/>
        <w:gridCol w:w="2004"/>
      </w:tblGrid>
      <w:tr w14:paraId="0F20A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2026" w:type="dxa"/>
            <w:vAlign w:val="center"/>
          </w:tcPr>
          <w:p w14:paraId="62E9CBA0">
            <w:pPr>
              <w:jc w:val="center"/>
              <w:rPr>
                <w:rFonts w:hint="eastAsia" w:asciiTheme="minorEastAsia" w:hAnsiTheme="minorEastAsia"/>
                <w:vertAlign w:val="baseline"/>
                <w:lang w:val="en-US" w:eastAsia="zh-CN"/>
              </w:rPr>
            </w:pPr>
            <w:r>
              <w:rPr>
                <w:rFonts w:hint="eastAsia" w:asciiTheme="minorEastAsia" w:hAnsiTheme="minorEastAsia"/>
                <w:vertAlign w:val="baseline"/>
                <w:lang w:val="en-US" w:eastAsia="zh-CN"/>
              </w:rPr>
              <w:t>标准值</w:t>
            </w:r>
          </w:p>
          <w:p w14:paraId="51DD8BB7">
            <w:pPr>
              <w:jc w:val="center"/>
              <w:rPr>
                <w:rFonts w:asciiTheme="minorEastAsia" w:hAnsiTheme="minorEastAsia"/>
                <w:vertAlign w:val="baseline"/>
              </w:rPr>
            </w:pPr>
            <w:r>
              <w:rPr>
                <w:rFonts w:hint="eastAsia" w:asciiTheme="minorEastAsia" w:hAnsiTheme="minorEastAsia"/>
                <w:vertAlign w:val="baseline"/>
                <w:lang w:val="en-US" w:eastAsia="zh-CN"/>
              </w:rPr>
              <w:t>/lm</w:t>
            </w:r>
          </w:p>
        </w:tc>
        <w:tc>
          <w:tcPr>
            <w:tcW w:w="2035" w:type="dxa"/>
            <w:vAlign w:val="center"/>
          </w:tcPr>
          <w:p w14:paraId="43471579">
            <w:pPr>
              <w:jc w:val="center"/>
              <w:rPr>
                <w:rFonts w:hint="eastAsia" w:asciiTheme="minorEastAsia" w:hAnsiTheme="minorEastAsia"/>
                <w:vertAlign w:val="baseline"/>
                <w:lang w:val="en-US" w:eastAsia="zh-CN"/>
              </w:rPr>
            </w:pPr>
            <w:r>
              <w:rPr>
                <w:rFonts w:hint="eastAsia" w:asciiTheme="minorEastAsia" w:hAnsiTheme="minorEastAsia"/>
                <w:vertAlign w:val="baseline"/>
                <w:lang w:val="en-US" w:eastAsia="zh-CN"/>
              </w:rPr>
              <w:t>仪器读数</w:t>
            </w:r>
          </w:p>
          <w:p w14:paraId="16BBAE39">
            <w:pPr>
              <w:jc w:val="center"/>
              <w:rPr>
                <w:rFonts w:hint="eastAsia" w:asciiTheme="minorEastAsia" w:hAnsiTheme="minorEastAsia" w:eastAsiaTheme="minorEastAsia"/>
                <w:vertAlign w:val="baseline"/>
                <w:lang w:val="en-US" w:eastAsia="zh-CN"/>
              </w:rPr>
            </w:pPr>
            <w:r>
              <w:rPr>
                <w:rFonts w:hint="eastAsia" w:asciiTheme="minorEastAsia" w:hAnsiTheme="minorEastAsia"/>
                <w:vertAlign w:val="baseline"/>
                <w:lang w:val="en-US" w:eastAsia="zh-CN"/>
              </w:rPr>
              <w:t>/lm</w:t>
            </w:r>
          </w:p>
        </w:tc>
        <w:tc>
          <w:tcPr>
            <w:tcW w:w="2037" w:type="dxa"/>
            <w:vAlign w:val="center"/>
          </w:tcPr>
          <w:p w14:paraId="3C266D42">
            <w:pPr>
              <w:jc w:val="center"/>
              <w:rPr>
                <w:rFonts w:hint="eastAsia" w:asciiTheme="minorEastAsia" w:hAnsiTheme="minorEastAsia"/>
                <w:vertAlign w:val="baseline"/>
                <w:lang w:val="en-US" w:eastAsia="zh-CN"/>
              </w:rPr>
            </w:pPr>
            <w:r>
              <w:rPr>
                <w:rFonts w:hint="eastAsia" w:asciiTheme="minorEastAsia" w:hAnsiTheme="minorEastAsia"/>
                <w:vertAlign w:val="baseline"/>
                <w:lang w:val="en-US" w:eastAsia="zh-CN"/>
              </w:rPr>
              <w:t>相对示值</w:t>
            </w:r>
          </w:p>
          <w:p w14:paraId="6FD8F8BA">
            <w:pPr>
              <w:jc w:val="center"/>
              <w:rPr>
                <w:rFonts w:hint="eastAsia" w:asciiTheme="minorEastAsia" w:hAnsiTheme="minorEastAsia" w:eastAsiaTheme="minorEastAsia"/>
                <w:vertAlign w:val="baseline"/>
                <w:lang w:val="en-US" w:eastAsia="zh-CN"/>
              </w:rPr>
            </w:pPr>
            <w:r>
              <w:rPr>
                <w:rFonts w:hint="eastAsia" w:asciiTheme="minorEastAsia" w:hAnsiTheme="minorEastAsia"/>
                <w:vertAlign w:val="baseline"/>
                <w:lang w:val="en-US" w:eastAsia="zh-CN"/>
              </w:rPr>
              <w:t>偏差</w:t>
            </w:r>
          </w:p>
        </w:tc>
        <w:tc>
          <w:tcPr>
            <w:tcW w:w="2004" w:type="dxa"/>
            <w:vAlign w:val="center"/>
          </w:tcPr>
          <w:p w14:paraId="53EA9F92">
            <w:pPr>
              <w:jc w:val="center"/>
              <w:rPr>
                <w:rFonts w:hint="eastAsia" w:asciiTheme="minorEastAsia" w:hAnsiTheme="minorEastAsia"/>
                <w:vertAlign w:val="baseline"/>
                <w:lang w:val="en-US" w:eastAsia="zh-CN"/>
              </w:rPr>
            </w:pPr>
            <w:r>
              <w:rPr>
                <w:rFonts w:hint="eastAsia" w:asciiTheme="minorEastAsia" w:hAnsiTheme="minorEastAsia"/>
                <w:vertAlign w:val="baseline"/>
                <w:lang w:val="en-US" w:eastAsia="zh-CN"/>
              </w:rPr>
              <w:t>相对</w:t>
            </w:r>
          </w:p>
          <w:p w14:paraId="36260F9C">
            <w:pPr>
              <w:jc w:val="center"/>
              <w:rPr>
                <w:rFonts w:hint="default" w:asciiTheme="minorEastAsia" w:hAnsiTheme="minorEastAsia"/>
                <w:vertAlign w:val="baseline"/>
                <w:lang w:val="en-US" w:eastAsia="zh-CN"/>
              </w:rPr>
            </w:pPr>
            <w:r>
              <w:rPr>
                <w:rFonts w:hint="eastAsia" w:asciiTheme="minorEastAsia" w:hAnsiTheme="minorEastAsia"/>
                <w:vertAlign w:val="baseline"/>
                <w:lang w:val="en-US" w:eastAsia="zh-CN"/>
              </w:rPr>
              <w:t>不确定度（</w:t>
            </w:r>
            <w:r>
              <w:rPr>
                <w:rFonts w:hint="eastAsia" w:asciiTheme="minorEastAsia" w:hAnsiTheme="minorEastAsia"/>
                <w:i/>
                <w:iCs/>
                <w:vertAlign w:val="baseline"/>
                <w:lang w:val="en-US" w:eastAsia="zh-CN"/>
              </w:rPr>
              <w:t>k</w:t>
            </w:r>
            <w:r>
              <w:rPr>
                <w:rFonts w:hint="eastAsia" w:asciiTheme="minorEastAsia" w:hAnsiTheme="minorEastAsia"/>
                <w:vertAlign w:val="baseline"/>
                <w:lang w:val="en-US" w:eastAsia="zh-CN"/>
              </w:rPr>
              <w:t>=2）</w:t>
            </w:r>
          </w:p>
        </w:tc>
      </w:tr>
      <w:tr w14:paraId="56824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top"/>
          </w:tcPr>
          <w:p w14:paraId="676DDB27">
            <w:pPr>
              <w:spacing w:line="480" w:lineRule="auto"/>
              <w:jc w:val="center"/>
              <w:rPr>
                <w:rFonts w:hint="default" w:asciiTheme="minorEastAsia" w:hAnsiTheme="minorEastAsia" w:eastAsiaTheme="minorEastAsia"/>
                <w:vertAlign w:val="baseline"/>
                <w:lang w:val="en-US" w:eastAsia="zh-CN"/>
              </w:rPr>
            </w:pPr>
            <w:r>
              <w:rPr>
                <w:rFonts w:hint="eastAsia" w:asciiTheme="minorEastAsia" w:hAnsiTheme="minorEastAsia"/>
                <w:vertAlign w:val="baseline"/>
                <w:lang w:val="en-US" w:eastAsia="zh-CN"/>
              </w:rPr>
              <w:t>11.67</w:t>
            </w:r>
          </w:p>
        </w:tc>
        <w:tc>
          <w:tcPr>
            <w:tcW w:w="2035" w:type="dxa"/>
            <w:vAlign w:val="top"/>
          </w:tcPr>
          <w:p w14:paraId="15414FB7">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11.657</w:t>
            </w:r>
          </w:p>
        </w:tc>
        <w:tc>
          <w:tcPr>
            <w:tcW w:w="2037" w:type="dxa"/>
            <w:vAlign w:val="center"/>
          </w:tcPr>
          <w:p w14:paraId="4CCD53B9">
            <w:pPr>
              <w:keepNext w:val="0"/>
              <w:keepLines w:val="0"/>
              <w:widowControl/>
              <w:suppressLineNumbers w:val="0"/>
              <w:jc w:val="center"/>
              <w:textAlignment w:val="center"/>
              <w:rPr>
                <w:rFonts w:asciiTheme="minorEastAsia" w:hAnsiTheme="minorEastAsia"/>
                <w:vertAlign w:val="baseline"/>
              </w:rPr>
            </w:pPr>
            <w:r>
              <w:rPr>
                <w:rFonts w:hint="eastAsia" w:ascii="宋体" w:hAnsi="宋体" w:eastAsia="宋体" w:cs="宋体"/>
                <w:i w:val="0"/>
                <w:iCs w:val="0"/>
                <w:color w:val="000000"/>
                <w:kern w:val="0"/>
                <w:sz w:val="22"/>
                <w:szCs w:val="22"/>
                <w:u w:val="none"/>
                <w:lang w:val="en-US" w:eastAsia="zh-CN" w:bidi="ar"/>
              </w:rPr>
              <w:t>-0.11%</w:t>
            </w:r>
          </w:p>
        </w:tc>
        <w:tc>
          <w:tcPr>
            <w:tcW w:w="2004" w:type="dxa"/>
          </w:tcPr>
          <w:p w14:paraId="4092EBBC">
            <w:pPr>
              <w:spacing w:line="480" w:lineRule="auto"/>
              <w:jc w:val="center"/>
              <w:rPr>
                <w:rFonts w:hint="default" w:eastAsia="宋体" w:asciiTheme="minorEastAsia" w:hAnsiTheme="minorEastAsia"/>
                <w:vertAlign w:val="baseline"/>
                <w:lang w:val="en-US" w:eastAsia="zh-CN"/>
              </w:rPr>
            </w:pPr>
            <w:r>
              <w:rPr>
                <w:rFonts w:hint="eastAsia" w:asciiTheme="minorEastAsia" w:hAnsiTheme="minorEastAsia"/>
                <w:vertAlign w:val="baseline"/>
                <w:lang w:val="en-US" w:eastAsia="zh-CN"/>
              </w:rPr>
              <w:t>2.6%</w:t>
            </w:r>
          </w:p>
        </w:tc>
      </w:tr>
      <w:tr w14:paraId="6043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top"/>
          </w:tcPr>
          <w:p w14:paraId="02A1F596">
            <w:pPr>
              <w:spacing w:line="480" w:lineRule="auto"/>
              <w:jc w:val="center"/>
              <w:rPr>
                <w:rFonts w:hint="default" w:asciiTheme="minorEastAsia" w:hAnsiTheme="minorEastAsia" w:eastAsiaTheme="minorEastAsia"/>
                <w:vertAlign w:val="baseline"/>
                <w:lang w:val="en-US" w:eastAsia="zh-CN"/>
              </w:rPr>
            </w:pPr>
            <w:r>
              <w:rPr>
                <w:rFonts w:hint="eastAsia" w:asciiTheme="minorEastAsia" w:hAnsiTheme="minorEastAsia"/>
                <w:vertAlign w:val="baseline"/>
                <w:lang w:val="en-US" w:eastAsia="zh-CN"/>
              </w:rPr>
              <w:t>9.690</w:t>
            </w:r>
          </w:p>
        </w:tc>
        <w:tc>
          <w:tcPr>
            <w:tcW w:w="2035" w:type="dxa"/>
            <w:vAlign w:val="top"/>
          </w:tcPr>
          <w:p w14:paraId="641BDF14">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9.674</w:t>
            </w:r>
          </w:p>
        </w:tc>
        <w:tc>
          <w:tcPr>
            <w:tcW w:w="2037" w:type="dxa"/>
            <w:vAlign w:val="center"/>
          </w:tcPr>
          <w:p w14:paraId="78630B81">
            <w:pPr>
              <w:keepNext w:val="0"/>
              <w:keepLines w:val="0"/>
              <w:widowControl/>
              <w:suppressLineNumbers w:val="0"/>
              <w:jc w:val="center"/>
              <w:textAlignment w:val="center"/>
              <w:rPr>
                <w:rFonts w:asciiTheme="minorEastAsia" w:hAnsiTheme="minorEastAsia"/>
                <w:vertAlign w:val="baseline"/>
              </w:rPr>
            </w:pPr>
            <w:r>
              <w:rPr>
                <w:rFonts w:hint="eastAsia" w:ascii="宋体" w:hAnsi="宋体" w:eastAsia="宋体" w:cs="宋体"/>
                <w:i w:val="0"/>
                <w:iCs w:val="0"/>
                <w:color w:val="000000"/>
                <w:kern w:val="0"/>
                <w:sz w:val="22"/>
                <w:szCs w:val="22"/>
                <w:u w:val="none"/>
                <w:lang w:val="en-US" w:eastAsia="zh-CN" w:bidi="ar"/>
              </w:rPr>
              <w:t>-0.17%</w:t>
            </w:r>
          </w:p>
        </w:tc>
        <w:tc>
          <w:tcPr>
            <w:tcW w:w="2004" w:type="dxa"/>
          </w:tcPr>
          <w:p w14:paraId="445C485C">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2.6%</w:t>
            </w:r>
          </w:p>
        </w:tc>
      </w:tr>
      <w:tr w14:paraId="64A84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top"/>
          </w:tcPr>
          <w:p w14:paraId="08844448">
            <w:pPr>
              <w:spacing w:line="480" w:lineRule="auto"/>
              <w:jc w:val="center"/>
              <w:rPr>
                <w:rFonts w:hint="default" w:asciiTheme="minorEastAsia" w:hAnsiTheme="minorEastAsia" w:eastAsiaTheme="minorEastAsia"/>
                <w:vertAlign w:val="baseline"/>
                <w:lang w:val="en-US" w:eastAsia="zh-CN"/>
              </w:rPr>
            </w:pPr>
            <w:r>
              <w:rPr>
                <w:rFonts w:hint="eastAsia" w:asciiTheme="minorEastAsia" w:hAnsiTheme="minorEastAsia"/>
                <w:vertAlign w:val="baseline"/>
                <w:lang w:val="en-US" w:eastAsia="zh-CN"/>
              </w:rPr>
              <w:t>6.098</w:t>
            </w:r>
          </w:p>
        </w:tc>
        <w:tc>
          <w:tcPr>
            <w:tcW w:w="2035" w:type="dxa"/>
            <w:vAlign w:val="top"/>
          </w:tcPr>
          <w:p w14:paraId="1E391061">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6.080</w:t>
            </w:r>
          </w:p>
        </w:tc>
        <w:tc>
          <w:tcPr>
            <w:tcW w:w="2037" w:type="dxa"/>
            <w:vAlign w:val="center"/>
          </w:tcPr>
          <w:p w14:paraId="4625407D">
            <w:pPr>
              <w:keepNext w:val="0"/>
              <w:keepLines w:val="0"/>
              <w:widowControl/>
              <w:suppressLineNumbers w:val="0"/>
              <w:jc w:val="center"/>
              <w:textAlignment w:val="center"/>
              <w:rPr>
                <w:rFonts w:asciiTheme="minorEastAsia" w:hAnsiTheme="minorEastAsia"/>
                <w:vertAlign w:val="baseline"/>
              </w:rPr>
            </w:pPr>
            <w:r>
              <w:rPr>
                <w:rFonts w:hint="eastAsia" w:ascii="宋体" w:hAnsi="宋体" w:eastAsia="宋体" w:cs="宋体"/>
                <w:i w:val="0"/>
                <w:iCs w:val="0"/>
                <w:color w:val="000000"/>
                <w:kern w:val="0"/>
                <w:sz w:val="22"/>
                <w:szCs w:val="22"/>
                <w:u w:val="none"/>
                <w:lang w:val="en-US" w:eastAsia="zh-CN" w:bidi="ar"/>
              </w:rPr>
              <w:t>-0.30%</w:t>
            </w:r>
          </w:p>
        </w:tc>
        <w:tc>
          <w:tcPr>
            <w:tcW w:w="2004" w:type="dxa"/>
          </w:tcPr>
          <w:p w14:paraId="488B7C1E">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2.6%</w:t>
            </w:r>
          </w:p>
        </w:tc>
      </w:tr>
      <w:tr w14:paraId="1A27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top"/>
          </w:tcPr>
          <w:p w14:paraId="0C3E5331">
            <w:pPr>
              <w:spacing w:line="480" w:lineRule="auto"/>
              <w:jc w:val="center"/>
              <w:rPr>
                <w:rFonts w:hint="default" w:asciiTheme="minorEastAsia" w:hAnsiTheme="minorEastAsia" w:eastAsiaTheme="minorEastAsia"/>
                <w:vertAlign w:val="baseline"/>
                <w:lang w:val="en-US" w:eastAsia="zh-CN"/>
              </w:rPr>
            </w:pPr>
            <w:r>
              <w:rPr>
                <w:rFonts w:hint="eastAsia" w:asciiTheme="minorEastAsia" w:hAnsiTheme="minorEastAsia"/>
                <w:vertAlign w:val="baseline"/>
                <w:lang w:val="en-US" w:eastAsia="zh-CN"/>
              </w:rPr>
              <w:t>4.690</w:t>
            </w:r>
          </w:p>
        </w:tc>
        <w:tc>
          <w:tcPr>
            <w:tcW w:w="2035" w:type="dxa"/>
            <w:vAlign w:val="top"/>
          </w:tcPr>
          <w:p w14:paraId="54DBCEDD">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4.674</w:t>
            </w:r>
          </w:p>
        </w:tc>
        <w:tc>
          <w:tcPr>
            <w:tcW w:w="2037" w:type="dxa"/>
            <w:vAlign w:val="center"/>
          </w:tcPr>
          <w:p w14:paraId="2C41CD66">
            <w:pPr>
              <w:keepNext w:val="0"/>
              <w:keepLines w:val="0"/>
              <w:widowControl/>
              <w:suppressLineNumbers w:val="0"/>
              <w:jc w:val="center"/>
              <w:textAlignment w:val="center"/>
              <w:rPr>
                <w:rFonts w:asciiTheme="minorEastAsia" w:hAnsiTheme="minorEastAsia"/>
                <w:vertAlign w:val="baseline"/>
              </w:rPr>
            </w:pPr>
            <w:r>
              <w:rPr>
                <w:rFonts w:hint="eastAsia" w:ascii="宋体" w:hAnsi="宋体" w:eastAsia="宋体" w:cs="宋体"/>
                <w:i w:val="0"/>
                <w:iCs w:val="0"/>
                <w:color w:val="000000"/>
                <w:kern w:val="0"/>
                <w:sz w:val="22"/>
                <w:szCs w:val="22"/>
                <w:u w:val="none"/>
                <w:lang w:val="en-US" w:eastAsia="zh-CN" w:bidi="ar"/>
              </w:rPr>
              <w:t>-0.34%</w:t>
            </w:r>
          </w:p>
        </w:tc>
        <w:tc>
          <w:tcPr>
            <w:tcW w:w="2004" w:type="dxa"/>
            <w:vAlign w:val="top"/>
          </w:tcPr>
          <w:p w14:paraId="388820BC">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2.6%</w:t>
            </w:r>
          </w:p>
        </w:tc>
      </w:tr>
      <w:tr w14:paraId="5AE6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top"/>
          </w:tcPr>
          <w:p w14:paraId="39DFC3FE">
            <w:pPr>
              <w:spacing w:line="480" w:lineRule="auto"/>
              <w:jc w:val="center"/>
              <w:rPr>
                <w:rFonts w:hint="default" w:asciiTheme="minorEastAsia" w:hAnsiTheme="minorEastAsia" w:eastAsiaTheme="minorEastAsia"/>
                <w:vertAlign w:val="baseline"/>
                <w:lang w:val="en-US" w:eastAsia="zh-CN"/>
              </w:rPr>
            </w:pPr>
            <w:r>
              <w:rPr>
                <w:rFonts w:hint="eastAsia" w:asciiTheme="minorEastAsia" w:hAnsiTheme="minorEastAsia"/>
                <w:vertAlign w:val="baseline"/>
                <w:lang w:val="en-US" w:eastAsia="zh-CN"/>
              </w:rPr>
              <w:t>4.188</w:t>
            </w:r>
          </w:p>
        </w:tc>
        <w:tc>
          <w:tcPr>
            <w:tcW w:w="2035" w:type="dxa"/>
            <w:vAlign w:val="top"/>
          </w:tcPr>
          <w:p w14:paraId="662D5235">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4.172</w:t>
            </w:r>
          </w:p>
        </w:tc>
        <w:tc>
          <w:tcPr>
            <w:tcW w:w="2037" w:type="dxa"/>
            <w:vAlign w:val="center"/>
          </w:tcPr>
          <w:p w14:paraId="2F2C8AF1">
            <w:pPr>
              <w:keepNext w:val="0"/>
              <w:keepLines w:val="0"/>
              <w:widowControl/>
              <w:suppressLineNumbers w:val="0"/>
              <w:jc w:val="center"/>
              <w:textAlignment w:val="center"/>
              <w:rPr>
                <w:rFonts w:asciiTheme="minorEastAsia" w:hAnsiTheme="minorEastAsia"/>
                <w:vertAlign w:val="baseline"/>
              </w:rPr>
            </w:pPr>
            <w:r>
              <w:rPr>
                <w:rFonts w:hint="eastAsia" w:ascii="宋体" w:hAnsi="宋体" w:eastAsia="宋体" w:cs="宋体"/>
                <w:i w:val="0"/>
                <w:iCs w:val="0"/>
                <w:color w:val="000000"/>
                <w:kern w:val="0"/>
                <w:sz w:val="22"/>
                <w:szCs w:val="22"/>
                <w:u w:val="none"/>
                <w:lang w:val="en-US" w:eastAsia="zh-CN" w:bidi="ar"/>
              </w:rPr>
              <w:t>-0.38%</w:t>
            </w:r>
          </w:p>
        </w:tc>
        <w:tc>
          <w:tcPr>
            <w:tcW w:w="2004" w:type="dxa"/>
            <w:vAlign w:val="top"/>
          </w:tcPr>
          <w:p w14:paraId="77BA9C3F">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2.6%</w:t>
            </w:r>
          </w:p>
        </w:tc>
      </w:tr>
      <w:tr w14:paraId="0E6F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top"/>
          </w:tcPr>
          <w:p w14:paraId="2ECD0A11">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3.097</w:t>
            </w:r>
          </w:p>
        </w:tc>
        <w:tc>
          <w:tcPr>
            <w:tcW w:w="2035" w:type="dxa"/>
            <w:vAlign w:val="top"/>
          </w:tcPr>
          <w:p w14:paraId="22E9C122">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3.077</w:t>
            </w:r>
          </w:p>
        </w:tc>
        <w:tc>
          <w:tcPr>
            <w:tcW w:w="2037" w:type="dxa"/>
            <w:vAlign w:val="center"/>
          </w:tcPr>
          <w:p w14:paraId="1F5789FD">
            <w:pPr>
              <w:keepNext w:val="0"/>
              <w:keepLines w:val="0"/>
              <w:widowControl/>
              <w:suppressLineNumbers w:val="0"/>
              <w:jc w:val="center"/>
              <w:textAlignment w:val="center"/>
              <w:rPr>
                <w:rFonts w:asciiTheme="minorEastAsia" w:hAnsiTheme="minorEastAsia"/>
                <w:vertAlign w:val="baseline"/>
              </w:rPr>
            </w:pPr>
            <w:r>
              <w:rPr>
                <w:rFonts w:hint="eastAsia" w:ascii="宋体" w:hAnsi="宋体" w:eastAsia="宋体" w:cs="宋体"/>
                <w:i w:val="0"/>
                <w:iCs w:val="0"/>
                <w:color w:val="000000"/>
                <w:kern w:val="0"/>
                <w:sz w:val="22"/>
                <w:szCs w:val="22"/>
                <w:u w:val="none"/>
                <w:lang w:val="en-US" w:eastAsia="zh-CN" w:bidi="ar"/>
              </w:rPr>
              <w:t>-0.65%</w:t>
            </w:r>
          </w:p>
        </w:tc>
        <w:tc>
          <w:tcPr>
            <w:tcW w:w="2004" w:type="dxa"/>
            <w:vAlign w:val="top"/>
          </w:tcPr>
          <w:p w14:paraId="716FAE76">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2.6%</w:t>
            </w:r>
          </w:p>
        </w:tc>
      </w:tr>
      <w:tr w14:paraId="158B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top"/>
          </w:tcPr>
          <w:p w14:paraId="20092CD5">
            <w:pPr>
              <w:spacing w:line="480" w:lineRule="auto"/>
              <w:jc w:val="center"/>
              <w:rPr>
                <w:rFonts w:hint="default" w:asciiTheme="minorEastAsia" w:hAnsiTheme="minorEastAsia"/>
                <w:vertAlign w:val="baseline"/>
                <w:lang w:val="en-US" w:eastAsia="zh-CN"/>
              </w:rPr>
            </w:pPr>
            <w:r>
              <w:rPr>
                <w:rFonts w:hint="eastAsia" w:asciiTheme="minorEastAsia" w:hAnsiTheme="minorEastAsia"/>
                <w:vertAlign w:val="baseline"/>
                <w:lang w:val="en-US" w:eastAsia="zh-CN"/>
              </w:rPr>
              <w:t>2.127</w:t>
            </w:r>
          </w:p>
        </w:tc>
        <w:tc>
          <w:tcPr>
            <w:tcW w:w="2035" w:type="dxa"/>
            <w:vAlign w:val="top"/>
          </w:tcPr>
          <w:p w14:paraId="793463F4">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2.112</w:t>
            </w:r>
          </w:p>
        </w:tc>
        <w:tc>
          <w:tcPr>
            <w:tcW w:w="2037" w:type="dxa"/>
            <w:vAlign w:val="center"/>
          </w:tcPr>
          <w:p w14:paraId="27D16DB8">
            <w:pPr>
              <w:keepNext w:val="0"/>
              <w:keepLines w:val="0"/>
              <w:widowControl/>
              <w:suppressLineNumbers w:val="0"/>
              <w:jc w:val="center"/>
              <w:textAlignment w:val="center"/>
              <w:rPr>
                <w:rFonts w:asciiTheme="minorEastAsia" w:hAnsiTheme="minorEastAsia"/>
                <w:vertAlign w:val="baseline"/>
              </w:rPr>
            </w:pPr>
            <w:r>
              <w:rPr>
                <w:rFonts w:hint="eastAsia" w:ascii="宋体" w:hAnsi="宋体" w:eastAsia="宋体" w:cs="宋体"/>
                <w:i w:val="0"/>
                <w:iCs w:val="0"/>
                <w:color w:val="000000"/>
                <w:kern w:val="0"/>
                <w:sz w:val="22"/>
                <w:szCs w:val="22"/>
                <w:u w:val="none"/>
                <w:lang w:val="en-US" w:eastAsia="zh-CN" w:bidi="ar"/>
              </w:rPr>
              <w:t>-0.71%</w:t>
            </w:r>
          </w:p>
        </w:tc>
        <w:tc>
          <w:tcPr>
            <w:tcW w:w="2004" w:type="dxa"/>
            <w:vAlign w:val="top"/>
          </w:tcPr>
          <w:p w14:paraId="4AEF4EFA">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2.6%</w:t>
            </w:r>
          </w:p>
        </w:tc>
      </w:tr>
      <w:tr w14:paraId="7D34F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top"/>
          </w:tcPr>
          <w:p w14:paraId="153E25A5">
            <w:pPr>
              <w:spacing w:line="480" w:lineRule="auto"/>
              <w:jc w:val="center"/>
              <w:rPr>
                <w:rFonts w:hint="default" w:asciiTheme="minorEastAsia" w:hAnsiTheme="minorEastAsia"/>
                <w:vertAlign w:val="baseline"/>
                <w:lang w:val="en-US" w:eastAsia="zh-CN"/>
              </w:rPr>
            </w:pPr>
            <w:r>
              <w:rPr>
                <w:rFonts w:hint="eastAsia" w:asciiTheme="minorEastAsia" w:hAnsiTheme="minorEastAsia"/>
                <w:vertAlign w:val="baseline"/>
                <w:lang w:val="en-US" w:eastAsia="zh-CN"/>
              </w:rPr>
              <w:t>1.581</w:t>
            </w:r>
          </w:p>
        </w:tc>
        <w:tc>
          <w:tcPr>
            <w:tcW w:w="2035" w:type="dxa"/>
            <w:vAlign w:val="top"/>
          </w:tcPr>
          <w:p w14:paraId="16635902">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1.558</w:t>
            </w:r>
          </w:p>
        </w:tc>
        <w:tc>
          <w:tcPr>
            <w:tcW w:w="2037" w:type="dxa"/>
            <w:vAlign w:val="center"/>
          </w:tcPr>
          <w:p w14:paraId="005072C0">
            <w:pPr>
              <w:keepNext w:val="0"/>
              <w:keepLines w:val="0"/>
              <w:widowControl/>
              <w:suppressLineNumbers w:val="0"/>
              <w:jc w:val="center"/>
              <w:textAlignment w:val="center"/>
              <w:rPr>
                <w:rFonts w:asciiTheme="minorEastAsia" w:hAnsiTheme="minorEastAsia"/>
                <w:vertAlign w:val="baseline"/>
              </w:rPr>
            </w:pPr>
            <w:r>
              <w:rPr>
                <w:rFonts w:hint="eastAsia" w:ascii="宋体" w:hAnsi="宋体" w:eastAsia="宋体" w:cs="宋体"/>
                <w:i w:val="0"/>
                <w:iCs w:val="0"/>
                <w:color w:val="000000"/>
                <w:kern w:val="0"/>
                <w:sz w:val="22"/>
                <w:szCs w:val="22"/>
                <w:u w:val="none"/>
                <w:lang w:val="en-US" w:eastAsia="zh-CN" w:bidi="ar"/>
              </w:rPr>
              <w:t>-1.5%</w:t>
            </w:r>
          </w:p>
        </w:tc>
        <w:tc>
          <w:tcPr>
            <w:tcW w:w="2004" w:type="dxa"/>
            <w:vAlign w:val="top"/>
          </w:tcPr>
          <w:p w14:paraId="4E6BE9A3">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2.6%</w:t>
            </w:r>
          </w:p>
        </w:tc>
      </w:tr>
      <w:tr w14:paraId="276A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top"/>
          </w:tcPr>
          <w:p w14:paraId="0BFB47EE">
            <w:pPr>
              <w:spacing w:line="480" w:lineRule="auto"/>
              <w:jc w:val="center"/>
              <w:rPr>
                <w:rFonts w:hint="eastAsia" w:asciiTheme="minorEastAsia" w:hAnsiTheme="minorEastAsia"/>
                <w:vertAlign w:val="baseline"/>
                <w:lang w:val="en-US" w:eastAsia="zh-CN"/>
              </w:rPr>
            </w:pPr>
            <w:r>
              <w:rPr>
                <w:rFonts w:hint="eastAsia" w:asciiTheme="minorEastAsia" w:hAnsiTheme="minorEastAsia"/>
                <w:vertAlign w:val="baseline"/>
                <w:lang w:val="en-US" w:eastAsia="zh-CN"/>
              </w:rPr>
              <w:t>1.230</w:t>
            </w:r>
          </w:p>
        </w:tc>
        <w:tc>
          <w:tcPr>
            <w:tcW w:w="2035" w:type="dxa"/>
            <w:vAlign w:val="top"/>
          </w:tcPr>
          <w:p w14:paraId="5AC41698">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1.210</w:t>
            </w:r>
          </w:p>
        </w:tc>
        <w:tc>
          <w:tcPr>
            <w:tcW w:w="2037" w:type="dxa"/>
            <w:vAlign w:val="center"/>
          </w:tcPr>
          <w:p w14:paraId="0C9A187C">
            <w:pPr>
              <w:keepNext w:val="0"/>
              <w:keepLines w:val="0"/>
              <w:widowControl/>
              <w:suppressLineNumbers w:val="0"/>
              <w:jc w:val="center"/>
              <w:textAlignment w:val="center"/>
              <w:rPr>
                <w:rFonts w:asciiTheme="minorEastAsia" w:hAnsiTheme="minorEastAsia"/>
                <w:vertAlign w:val="baseline"/>
              </w:rPr>
            </w:pPr>
            <w:r>
              <w:rPr>
                <w:rFonts w:hint="eastAsia" w:ascii="宋体" w:hAnsi="宋体" w:eastAsia="宋体" w:cs="宋体"/>
                <w:i w:val="0"/>
                <w:iCs w:val="0"/>
                <w:color w:val="000000"/>
                <w:kern w:val="0"/>
                <w:sz w:val="22"/>
                <w:szCs w:val="22"/>
                <w:u w:val="none"/>
                <w:lang w:val="en-US" w:eastAsia="zh-CN" w:bidi="ar"/>
              </w:rPr>
              <w:t>-1.6%</w:t>
            </w:r>
          </w:p>
        </w:tc>
        <w:tc>
          <w:tcPr>
            <w:tcW w:w="2004" w:type="dxa"/>
            <w:vAlign w:val="top"/>
          </w:tcPr>
          <w:p w14:paraId="2246C678">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2.6%</w:t>
            </w:r>
          </w:p>
        </w:tc>
      </w:tr>
      <w:tr w14:paraId="770A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top"/>
          </w:tcPr>
          <w:p w14:paraId="2C00EE0C">
            <w:pPr>
              <w:spacing w:line="480" w:lineRule="auto"/>
              <w:jc w:val="center"/>
              <w:rPr>
                <w:rFonts w:hint="eastAsia" w:asciiTheme="minorEastAsia" w:hAnsiTheme="minorEastAsia"/>
                <w:vertAlign w:val="baseline"/>
                <w:lang w:val="en-US" w:eastAsia="zh-CN"/>
              </w:rPr>
            </w:pPr>
            <w:r>
              <w:rPr>
                <w:rFonts w:hint="eastAsia" w:asciiTheme="minorEastAsia" w:hAnsiTheme="minorEastAsia"/>
                <w:vertAlign w:val="baseline"/>
                <w:lang w:val="en-US" w:eastAsia="zh-CN"/>
              </w:rPr>
              <w:t>1.144</w:t>
            </w:r>
          </w:p>
        </w:tc>
        <w:tc>
          <w:tcPr>
            <w:tcW w:w="2035" w:type="dxa"/>
            <w:vAlign w:val="top"/>
          </w:tcPr>
          <w:p w14:paraId="0D32E779">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1.127</w:t>
            </w:r>
          </w:p>
        </w:tc>
        <w:tc>
          <w:tcPr>
            <w:tcW w:w="2037" w:type="dxa"/>
            <w:vAlign w:val="center"/>
          </w:tcPr>
          <w:p w14:paraId="09666175">
            <w:pPr>
              <w:keepNext w:val="0"/>
              <w:keepLines w:val="0"/>
              <w:widowControl/>
              <w:suppressLineNumbers w:val="0"/>
              <w:jc w:val="center"/>
              <w:textAlignment w:val="center"/>
              <w:rPr>
                <w:rFonts w:asciiTheme="minorEastAsia" w:hAnsiTheme="minorEastAsia"/>
                <w:vertAlign w:val="baseline"/>
              </w:rPr>
            </w:pPr>
            <w:r>
              <w:rPr>
                <w:rFonts w:hint="eastAsia" w:ascii="宋体" w:hAnsi="宋体" w:eastAsia="宋体" w:cs="宋体"/>
                <w:i w:val="0"/>
                <w:iCs w:val="0"/>
                <w:color w:val="000000"/>
                <w:kern w:val="0"/>
                <w:sz w:val="22"/>
                <w:szCs w:val="22"/>
                <w:u w:val="none"/>
                <w:lang w:val="en-US" w:eastAsia="zh-CN" w:bidi="ar"/>
              </w:rPr>
              <w:t>-1.5%</w:t>
            </w:r>
          </w:p>
        </w:tc>
        <w:tc>
          <w:tcPr>
            <w:tcW w:w="2004" w:type="dxa"/>
            <w:vAlign w:val="top"/>
          </w:tcPr>
          <w:p w14:paraId="3AA4EB1E">
            <w:pPr>
              <w:spacing w:line="480" w:lineRule="auto"/>
              <w:jc w:val="center"/>
              <w:rPr>
                <w:rFonts w:asciiTheme="minorEastAsia" w:hAnsiTheme="minorEastAsia"/>
                <w:vertAlign w:val="baseline"/>
              </w:rPr>
            </w:pPr>
            <w:r>
              <w:rPr>
                <w:rFonts w:hint="eastAsia" w:asciiTheme="minorEastAsia" w:hAnsiTheme="minorEastAsia"/>
                <w:vertAlign w:val="baseline"/>
                <w:lang w:val="en-US" w:eastAsia="zh-CN"/>
              </w:rPr>
              <w:t>2.6%</w:t>
            </w:r>
          </w:p>
        </w:tc>
      </w:tr>
    </w:tbl>
    <w:p w14:paraId="072FB166">
      <w:pPr>
        <w:pStyle w:val="19"/>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说明：探测器原点5.010 m，开口直径10 mm</w:t>
      </w:r>
      <w:bookmarkStart w:id="0" w:name="_GoBack"/>
      <w:bookmarkEnd w:id="0"/>
    </w:p>
    <w:p w14:paraId="1A4219B8">
      <w:pPr>
        <w:pStyle w:val="19"/>
        <w:jc w:val="both"/>
        <w:rPr>
          <w:rFonts w:hint="default" w:ascii="宋体" w:hAnsi="宋体" w:eastAsia="宋体" w:cs="宋体"/>
          <w:sz w:val="21"/>
          <w:szCs w:val="21"/>
          <w:lang w:val="en-US" w:eastAsia="zh-CN"/>
        </w:rPr>
      </w:pPr>
    </w:p>
    <w:p w14:paraId="5C931F41">
      <w:pPr>
        <w:pStyle w:val="19"/>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温度：    </w:t>
      </w: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w:t>
      </w:r>
      <w:r>
        <w:rPr>
          <w:rFonts w:hint="eastAsia" w:ascii="宋体" w:hAnsi="宋体" w:eastAsia="宋体" w:cs="宋体"/>
          <w:sz w:val="21"/>
          <w:szCs w:val="21"/>
          <w:lang w:val="en-US" w:eastAsia="zh-CN"/>
        </w:rPr>
        <w:t xml:space="preserve">      湿度： </w:t>
      </w:r>
      <w:r>
        <w:rPr>
          <w:rFonts w:hint="eastAsia" w:ascii="宋体" w:hAnsi="宋体"/>
          <w:sz w:val="24"/>
          <w:szCs w:val="24"/>
          <w:highlight w:val="none"/>
          <w:lang w:val="en-US" w:eastAsia="zh-CN"/>
        </w:rPr>
        <w:t>40</w:t>
      </w:r>
      <w:r>
        <w:rPr>
          <w:rFonts w:hint="eastAsia" w:ascii="宋体" w:hAnsi="宋体"/>
          <w:sz w:val="24"/>
          <w:szCs w:val="24"/>
          <w:highlight w:val="none"/>
        </w:rPr>
        <w:t>%</w:t>
      </w:r>
      <w:r>
        <w:rPr>
          <w:rFonts w:hint="eastAsia" w:ascii="宋体" w:hAnsi="宋体" w:eastAsia="宋体" w:cs="宋体"/>
          <w:sz w:val="21"/>
          <w:szCs w:val="21"/>
          <w:lang w:val="en-US" w:eastAsia="zh-CN"/>
        </w:rPr>
        <w:t xml:space="preserve">  </w:t>
      </w:r>
    </w:p>
    <w:p w14:paraId="5208F490">
      <w:pPr>
        <w:pStyle w:val="19"/>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校准员：   赵伟强     核验员： 刘慧</w:t>
      </w:r>
    </w:p>
    <w:p w14:paraId="1FA18DFC">
      <w:pPr>
        <w:pStyle w:val="19"/>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校准日期： 2025年06月30日</w:t>
      </w:r>
    </w:p>
    <w:p w14:paraId="16606DE1"/>
    <w:sectPr>
      <w:pgSz w:w="11906" w:h="16838"/>
      <w:pgMar w:top="1440" w:right="1800" w:bottom="1440" w:left="22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ì.">
    <w:altName w:val="宋体"/>
    <w:panose1 w:val="00000000000000000000"/>
    <w:charset w:val="86"/>
    <w:family w:val="auto"/>
    <w:pitch w:val="default"/>
    <w:sig w:usb0="00000000" w:usb1="00000000" w:usb2="00000010" w:usb3="00000000" w:csb0="00040000" w:csb1="00000000"/>
  </w:font>
  <w:font w:name="Castellar">
    <w:panose1 w:val="020A0402060406010301"/>
    <w:charset w:val="00"/>
    <w:family w:val="roman"/>
    <w:pitch w:val="default"/>
    <w:sig w:usb0="00000003" w:usb1="00000000" w:usb2="00000000" w:usb3="00000000" w:csb0="20000001" w:csb1="00000000"/>
  </w:font>
  <w:font w:name="新宋体-18030">
    <w:altName w:val="微软雅黑"/>
    <w:panose1 w:val="00000000000000000000"/>
    <w:charset w:val="86"/>
    <w:family w:val="auto"/>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Cambria Math">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A73519"/>
    <w:multiLevelType w:val="singleLevel"/>
    <w:tmpl w:val="C1A73519"/>
    <w:lvl w:ilvl="0" w:tentative="0">
      <w:start w:val="1"/>
      <w:numFmt w:val="decimal"/>
      <w:suff w:val="nothing"/>
      <w:lvlText w:val="（%1）"/>
      <w:lvlJc w:val="left"/>
    </w:lvl>
  </w:abstractNum>
  <w:abstractNum w:abstractNumId="1">
    <w:nsid w:val="4EA85489"/>
    <w:multiLevelType w:val="multilevel"/>
    <w:tmpl w:val="4EA85489"/>
    <w:lvl w:ilvl="0" w:tentative="0">
      <w:start w:val="1"/>
      <w:numFmt w:val="chineseCountingThousand"/>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69989A48"/>
    <w:multiLevelType w:val="singleLevel"/>
    <w:tmpl w:val="69989A48"/>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0577140"/>
    <w:rsid w:val="02830AFC"/>
    <w:rsid w:val="02C6061F"/>
    <w:rsid w:val="033C2484"/>
    <w:rsid w:val="038B04A6"/>
    <w:rsid w:val="06DC4288"/>
    <w:rsid w:val="08600724"/>
    <w:rsid w:val="09944A5F"/>
    <w:rsid w:val="0C811679"/>
    <w:rsid w:val="0F7A6F82"/>
    <w:rsid w:val="10E35A82"/>
    <w:rsid w:val="111B6540"/>
    <w:rsid w:val="12D44F51"/>
    <w:rsid w:val="14976A43"/>
    <w:rsid w:val="16856556"/>
    <w:rsid w:val="174032C8"/>
    <w:rsid w:val="19704437"/>
    <w:rsid w:val="1DD71FE5"/>
    <w:rsid w:val="1E243045"/>
    <w:rsid w:val="21130D5E"/>
    <w:rsid w:val="22DE709D"/>
    <w:rsid w:val="24500991"/>
    <w:rsid w:val="29CD4E78"/>
    <w:rsid w:val="2AE87C87"/>
    <w:rsid w:val="2CAB47C4"/>
    <w:rsid w:val="2CC24862"/>
    <w:rsid w:val="2EB23F5D"/>
    <w:rsid w:val="313E035C"/>
    <w:rsid w:val="31CC308E"/>
    <w:rsid w:val="36A007CA"/>
    <w:rsid w:val="376F3581"/>
    <w:rsid w:val="394F188D"/>
    <w:rsid w:val="3AD15ECF"/>
    <w:rsid w:val="3B183DF3"/>
    <w:rsid w:val="3BC062F9"/>
    <w:rsid w:val="3D6C3AFB"/>
    <w:rsid w:val="3E32532F"/>
    <w:rsid w:val="3E484B7F"/>
    <w:rsid w:val="46BC781A"/>
    <w:rsid w:val="4705742D"/>
    <w:rsid w:val="4D9979D8"/>
    <w:rsid w:val="535B7F0E"/>
    <w:rsid w:val="550314F5"/>
    <w:rsid w:val="567F382C"/>
    <w:rsid w:val="56D7103C"/>
    <w:rsid w:val="5A3A1AE4"/>
    <w:rsid w:val="5BDD526E"/>
    <w:rsid w:val="5DCD6172"/>
    <w:rsid w:val="601B4F8E"/>
    <w:rsid w:val="624221F8"/>
    <w:rsid w:val="625B1311"/>
    <w:rsid w:val="6307792F"/>
    <w:rsid w:val="63FA510E"/>
    <w:rsid w:val="641F2924"/>
    <w:rsid w:val="653A1FD0"/>
    <w:rsid w:val="66950DF7"/>
    <w:rsid w:val="66AA4BC9"/>
    <w:rsid w:val="6C7A233B"/>
    <w:rsid w:val="6D887C10"/>
    <w:rsid w:val="6FA05350"/>
    <w:rsid w:val="6FEF189F"/>
    <w:rsid w:val="75E66DC3"/>
    <w:rsid w:val="770A4CD0"/>
    <w:rsid w:val="79F94C05"/>
    <w:rsid w:val="7B6411A6"/>
    <w:rsid w:val="7BA06143"/>
    <w:rsid w:val="7F54209F"/>
    <w:rsid w:val="7F8F2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Default"/>
    <w:autoRedefine/>
    <w:qFormat/>
    <w:uiPriority w:val="0"/>
    <w:pPr>
      <w:widowControl w:val="0"/>
      <w:autoSpaceDE w:val="0"/>
      <w:autoSpaceDN w:val="0"/>
      <w:adjustRightInd w:val="0"/>
    </w:pPr>
    <w:rPr>
      <w:rFonts w:ascii="..ì." w:hAnsi="Times New Roman" w:eastAsia="..ì." w:cs="..ì."/>
      <w:color w:val="000000"/>
      <w:kern w:val="0"/>
      <w:sz w:val="24"/>
      <w:szCs w:val="24"/>
      <w:lang w:val="en-US" w:eastAsia="zh-CN" w:bidi="ar-SA"/>
    </w:rPr>
  </w:style>
  <w:style w:type="paragraph" w:customStyle="1" w:styleId="6">
    <w:name w:val="段"/>
    <w:next w:val="1"/>
    <w:autoRedefine/>
    <w:qFormat/>
    <w:uiPriority w:val="0"/>
    <w:pPr>
      <w:autoSpaceDE w:val="0"/>
      <w:autoSpaceDN w:val="0"/>
      <w:ind w:firstLine="200" w:firstLineChars="200"/>
      <w:jc w:val="both"/>
    </w:pPr>
    <w:rPr>
      <w:rFonts w:ascii="宋体" w:eastAsia="宋体" w:hAnsiTheme="minorHAnsi" w:cstheme="minorBidi"/>
      <w:kern w:val="2"/>
      <w:sz w:val="21"/>
      <w:szCs w:val="22"/>
      <w:lang w:val="en-US" w:eastAsia="zh-CN" w:bidi="ar-SA"/>
    </w:rPr>
  </w:style>
  <w:style w:type="character" w:customStyle="1" w:styleId="7">
    <w:name w:val="IOPText Char"/>
    <w:link w:val="8"/>
    <w:autoRedefine/>
    <w:qFormat/>
    <w:uiPriority w:val="0"/>
  </w:style>
  <w:style w:type="paragraph" w:customStyle="1" w:styleId="8">
    <w:name w:val="IOPText"/>
    <w:basedOn w:val="9"/>
    <w:link w:val="7"/>
    <w:autoRedefine/>
    <w:qFormat/>
    <w:uiPriority w:val="0"/>
    <w:pPr>
      <w:ind w:right="0" w:firstLine="227"/>
    </w:pPr>
  </w:style>
  <w:style w:type="paragraph" w:customStyle="1" w:styleId="9">
    <w:name w:val="IOPAbsText"/>
    <w:basedOn w:val="1"/>
    <w:autoRedefine/>
    <w:qFormat/>
    <w:uiPriority w:val="0"/>
    <w:pPr>
      <w:ind w:right="2552"/>
    </w:pPr>
    <w:rPr>
      <w:sz w:val="20"/>
    </w:rPr>
  </w:style>
  <w:style w:type="character" w:customStyle="1" w:styleId="10">
    <w:name w:val="font21"/>
    <w:basedOn w:val="4"/>
    <w:autoRedefine/>
    <w:qFormat/>
    <w:uiPriority w:val="0"/>
    <w:rPr>
      <w:rFonts w:hint="eastAsia" w:ascii="宋体" w:hAnsi="宋体" w:eastAsia="宋体" w:cs="宋体"/>
      <w:color w:val="000000"/>
      <w:sz w:val="21"/>
      <w:szCs w:val="21"/>
      <w:u w:val="none"/>
    </w:rPr>
  </w:style>
  <w:style w:type="character" w:customStyle="1" w:styleId="11">
    <w:name w:val="font41"/>
    <w:basedOn w:val="4"/>
    <w:autoRedefine/>
    <w:qFormat/>
    <w:uiPriority w:val="0"/>
    <w:rPr>
      <w:rFonts w:hint="default" w:ascii="Times New Roman" w:hAnsi="Times New Roman" w:cs="Times New Roman"/>
      <w:color w:val="000000"/>
      <w:sz w:val="21"/>
      <w:szCs w:val="21"/>
      <w:u w:val="none"/>
    </w:rPr>
  </w:style>
  <w:style w:type="character" w:customStyle="1" w:styleId="12">
    <w:name w:val="font11"/>
    <w:basedOn w:val="4"/>
    <w:autoRedefine/>
    <w:qFormat/>
    <w:uiPriority w:val="0"/>
    <w:rPr>
      <w:rFonts w:hint="eastAsia" w:ascii="宋体" w:hAnsi="宋体" w:eastAsia="宋体" w:cs="宋体"/>
      <w:i/>
      <w:iCs/>
      <w:color w:val="000000"/>
      <w:sz w:val="21"/>
      <w:szCs w:val="21"/>
      <w:u w:val="none"/>
    </w:rPr>
  </w:style>
  <w:style w:type="character" w:customStyle="1" w:styleId="13">
    <w:name w:val="font51"/>
    <w:basedOn w:val="4"/>
    <w:autoRedefine/>
    <w:qFormat/>
    <w:uiPriority w:val="0"/>
    <w:rPr>
      <w:rFonts w:hint="eastAsia" w:ascii="宋体" w:hAnsi="宋体" w:eastAsia="宋体" w:cs="宋体"/>
      <w:color w:val="000000"/>
      <w:sz w:val="21"/>
      <w:szCs w:val="21"/>
      <w:u w:val="none"/>
      <w:vertAlign w:val="subscript"/>
    </w:rPr>
  </w:style>
  <w:style w:type="character" w:customStyle="1" w:styleId="14">
    <w:name w:val="font01"/>
    <w:basedOn w:val="4"/>
    <w:autoRedefine/>
    <w:qFormat/>
    <w:uiPriority w:val="0"/>
    <w:rPr>
      <w:rFonts w:hint="eastAsia" w:ascii="宋体" w:hAnsi="宋体" w:eastAsia="宋体" w:cs="宋体"/>
      <w:color w:val="000000"/>
      <w:sz w:val="22"/>
      <w:szCs w:val="22"/>
      <w:u w:val="none"/>
    </w:rPr>
  </w:style>
  <w:style w:type="character" w:customStyle="1" w:styleId="15">
    <w:name w:val="font61"/>
    <w:basedOn w:val="4"/>
    <w:autoRedefine/>
    <w:qFormat/>
    <w:uiPriority w:val="0"/>
    <w:rPr>
      <w:rFonts w:ascii="宋体" w:hAnsi="宋体" w:eastAsia="宋体" w:cs="宋体"/>
      <w:color w:val="000000"/>
      <w:sz w:val="22"/>
      <w:szCs w:val="22"/>
      <w:u w:val="none"/>
    </w:rPr>
  </w:style>
  <w:style w:type="character" w:customStyle="1" w:styleId="16">
    <w:name w:val="font71"/>
    <w:basedOn w:val="4"/>
    <w:autoRedefine/>
    <w:qFormat/>
    <w:uiPriority w:val="0"/>
    <w:rPr>
      <w:rFonts w:hint="default" w:ascii="Times New Roman" w:hAnsi="Times New Roman" w:cs="Times New Roman"/>
      <w:color w:val="000000"/>
      <w:sz w:val="22"/>
      <w:szCs w:val="22"/>
      <w:u w:val="none"/>
    </w:rPr>
  </w:style>
  <w:style w:type="character" w:customStyle="1" w:styleId="17">
    <w:name w:val="font31"/>
    <w:basedOn w:val="4"/>
    <w:autoRedefine/>
    <w:qFormat/>
    <w:uiPriority w:val="0"/>
    <w:rPr>
      <w:rFonts w:hint="eastAsia" w:ascii="宋体" w:hAnsi="宋体" w:eastAsia="宋体" w:cs="宋体"/>
      <w:i/>
      <w:iCs/>
      <w:color w:val="000000"/>
      <w:sz w:val="22"/>
      <w:szCs w:val="22"/>
      <w:u w:val="none"/>
    </w:rPr>
  </w:style>
  <w:style w:type="character" w:customStyle="1" w:styleId="18">
    <w:name w:val="font91"/>
    <w:basedOn w:val="4"/>
    <w:autoRedefine/>
    <w:qFormat/>
    <w:uiPriority w:val="0"/>
    <w:rPr>
      <w:rFonts w:ascii="宋体" w:hAnsi="宋体" w:eastAsia="宋体" w:cs="宋体"/>
      <w:color w:val="000000"/>
      <w:sz w:val="22"/>
      <w:szCs w:val="22"/>
      <w:u w:val="none"/>
    </w:rPr>
  </w:style>
  <w:style w:type="paragraph" w:customStyle="1" w:styleId="19">
    <w:name w:val="附录的标题"/>
    <w:basedOn w:val="1"/>
    <w:autoRedefine/>
    <w:qFormat/>
    <w:uiPriority w:val="0"/>
    <w:pPr>
      <w:jc w:val="center"/>
    </w:pPr>
    <w:rPr>
      <w:rFonts w:ascii="黑体" w:hAnsi="黑体" w:eastAsia="黑体"/>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1132</Words>
  <Characters>1228</Characters>
  <Lines>0</Lines>
  <Paragraphs>0</Paragraphs>
  <TotalTime>1</TotalTime>
  <ScaleCrop>false</ScaleCrop>
  <LinksUpToDate>false</LinksUpToDate>
  <CharactersWithSpaces>1296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2022-10-20T04:45:00Z</dcterms:created>
  <dc:creator>12607</dc:creator>
  <cp:lastModifiedBy>Zhao Weiqiang</cp:lastModifiedBy>
  <dcterms:modified xsi:type="dcterms:W3CDTF">2025-09-24T01:14:32Z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D6FDF4D61EE94559A0BC89DE2380F5C4</vt:lpwstr>
  </property>
  <property fmtid="{D5CDD505-2E9C-101B-9397-08002B2CF9AE}" pid="4" name="KSOTemplateDocerSaveRecord">
    <vt:lpwstr>eyJoZGlkIjoiMzEwNTM5NzYwMDRjMzkwZTVkZjY2ODkwMGIxNGU0OTUiLCJ1c2VySWQiOiI0NTQ4NTY3NDQifQ==</vt:lpwstr>
  </property>
</Properties>
</file>